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D0C5" w14:textId="77777777" w:rsidR="00807FFD" w:rsidRPr="00807FFD" w:rsidRDefault="00807FFD" w:rsidP="00807FFD">
      <w:pPr>
        <w:pStyle w:val="Heading1"/>
        <w:jc w:val="right"/>
        <w:rPr>
          <w:rFonts w:ascii="Times New Roman" w:hAnsi="Times New Roman" w:cs="Times New Roman"/>
          <w:sz w:val="22"/>
          <w:szCs w:val="22"/>
        </w:rPr>
      </w:pPr>
      <w:r w:rsidRPr="00807FFD">
        <w:rPr>
          <w:rFonts w:ascii="Times New Roman" w:hAnsi="Times New Roman" w:cs="Times New Roman"/>
          <w:sz w:val="22"/>
          <w:szCs w:val="22"/>
        </w:rPr>
        <w:t>SENATE AGEN</w:t>
      </w:r>
      <w:bookmarkStart w:id="0" w:name="_GoBack"/>
      <w:bookmarkEnd w:id="0"/>
      <w:r w:rsidRPr="00807FFD">
        <w:rPr>
          <w:rFonts w:ascii="Times New Roman" w:hAnsi="Times New Roman" w:cs="Times New Roman"/>
          <w:sz w:val="22"/>
          <w:szCs w:val="22"/>
        </w:rPr>
        <w:t>DA ITEM II.D.1.</w:t>
      </w:r>
    </w:p>
    <w:p w14:paraId="4C56C7B1" w14:textId="77777777" w:rsidR="00807FFD" w:rsidRPr="00807FFD" w:rsidRDefault="00807FFD" w:rsidP="00807FFD">
      <w:pPr>
        <w:jc w:val="right"/>
        <w:rPr>
          <w:rFonts w:ascii="Times New Roman" w:hAnsi="Times New Roman" w:cs="Times New Roman"/>
          <w:b/>
        </w:rPr>
      </w:pPr>
      <w:r w:rsidRPr="00807FFD">
        <w:rPr>
          <w:rFonts w:ascii="Times New Roman" w:hAnsi="Times New Roman" w:cs="Times New Roman"/>
          <w:b/>
        </w:rPr>
        <w:t>27 August 2019</w:t>
      </w:r>
    </w:p>
    <w:p w14:paraId="07CC4BA2" w14:textId="48D4D6F1" w:rsidR="00C13130" w:rsidRDefault="009E1E5B" w:rsidP="005740D9">
      <w:pPr>
        <w:pStyle w:val="Heading1"/>
        <w:rPr>
          <w:rFonts w:ascii="Times New Roman" w:hAnsi="Times New Roman" w:cs="Times New Roman"/>
          <w:sz w:val="32"/>
        </w:rPr>
      </w:pPr>
      <w:r>
        <w:rPr>
          <w:rFonts w:ascii="Times New Roman" w:hAnsi="Times New Roman" w:cs="Times New Roman"/>
          <w:sz w:val="32"/>
        </w:rPr>
        <w:t>Recommendations by the IBHE Faculty Advisory Council on</w:t>
      </w:r>
      <w:r w:rsidR="00EA34F3" w:rsidRPr="00187B88">
        <w:rPr>
          <w:rFonts w:ascii="Times New Roman" w:hAnsi="Times New Roman" w:cs="Times New Roman"/>
          <w:sz w:val="32"/>
        </w:rPr>
        <w:t xml:space="preserve"> Program Prioritization and Consolidation </w:t>
      </w:r>
    </w:p>
    <w:p w14:paraId="0FC44003" w14:textId="6B8B9E5C" w:rsidR="00EA34F3" w:rsidRPr="00187B88" w:rsidRDefault="00C13130" w:rsidP="00C13130">
      <w:pPr>
        <w:jc w:val="center"/>
      </w:pPr>
      <w:r>
        <w:rPr>
          <w:rFonts w:ascii="Times New Roman" w:hAnsi="Times New Roman" w:cs="Times New Roman"/>
        </w:rPr>
        <w:t>Passed 4-19-19</w:t>
      </w:r>
      <w:r w:rsidR="007F4D7A" w:rsidRPr="00187B88">
        <w:br/>
      </w:r>
    </w:p>
    <w:p w14:paraId="72C31798" w14:textId="77777777" w:rsidR="00374EDF" w:rsidRPr="00187B88" w:rsidRDefault="0006567D" w:rsidP="0006567D">
      <w:pPr>
        <w:rPr>
          <w:rFonts w:ascii="Times New Roman" w:hAnsi="Times New Roman" w:cs="Times New Roman"/>
        </w:rPr>
      </w:pPr>
      <w:r w:rsidRPr="00187B88">
        <w:rPr>
          <w:rFonts w:ascii="Times New Roman" w:hAnsi="Times New Roman" w:cs="Times New Roman"/>
        </w:rPr>
        <w:t>D</w:t>
      </w:r>
      <w:r w:rsidR="007C3E94" w:rsidRPr="00187B88">
        <w:rPr>
          <w:rFonts w:ascii="Times New Roman" w:hAnsi="Times New Roman" w:cs="Times New Roman"/>
        </w:rPr>
        <w:t>isinvestment in higher education in recent decades has put pressure on university administrators to cut academic programs, lay off faculty, and reorganize programs with an eye to cost-savings and efficiency as the only meaningful priority.</w:t>
      </w:r>
      <w:r w:rsidRPr="00187B88">
        <w:rPr>
          <w:rFonts w:ascii="Times New Roman" w:hAnsi="Times New Roman" w:cs="Times New Roman"/>
          <w:b/>
        </w:rPr>
        <w:t xml:space="preserve">  </w:t>
      </w:r>
      <w:r w:rsidRPr="00187B88">
        <w:rPr>
          <w:rFonts w:ascii="Times New Roman" w:hAnsi="Times New Roman" w:cs="Times New Roman"/>
        </w:rPr>
        <w:t xml:space="preserve">As Ralph </w:t>
      </w:r>
      <w:proofErr w:type="spellStart"/>
      <w:r w:rsidRPr="00187B88">
        <w:rPr>
          <w:rFonts w:ascii="Times New Roman" w:hAnsi="Times New Roman" w:cs="Times New Roman"/>
        </w:rPr>
        <w:t>Martire</w:t>
      </w:r>
      <w:proofErr w:type="spellEnd"/>
      <w:r w:rsidRPr="00187B88">
        <w:rPr>
          <w:rFonts w:ascii="Times New Roman" w:hAnsi="Times New Roman" w:cs="Times New Roman"/>
        </w:rPr>
        <w:t xml:space="preserve"> of the Center for Budget and Tax Accountability notes, “state funding [for higher education] has declined by over 51% in real, inflation-adjusted terms since fiscal year 2000. In response, tuition at public colleges and universities in Illinois over that sequence has increased at a rate that’s 62.6% greater than the national average. </w:t>
      </w:r>
      <w:proofErr w:type="gramStart"/>
      <w:r w:rsidRPr="00187B88">
        <w:rPr>
          <w:rFonts w:ascii="Times New Roman" w:hAnsi="Times New Roman" w:cs="Times New Roman"/>
        </w:rPr>
        <w:t>So</w:t>
      </w:r>
      <w:proofErr w:type="gramEnd"/>
      <w:r w:rsidRPr="00187B88">
        <w:rPr>
          <w:rFonts w:ascii="Times New Roman" w:hAnsi="Times New Roman" w:cs="Times New Roman"/>
        </w:rPr>
        <w:t xml:space="preserve"> it should come as no surprise that over the last decade enrollment in public institutions of higher learning has declined by 8.1% in Illinois, despite growing by 7.7% nationally.”</w:t>
      </w:r>
      <w:r w:rsidRPr="00187B88">
        <w:rPr>
          <w:rStyle w:val="FootnoteReference"/>
          <w:rFonts w:ascii="Times New Roman" w:hAnsi="Times New Roman" w:cs="Times New Roman"/>
        </w:rPr>
        <w:footnoteReference w:id="1"/>
      </w:r>
      <w:r w:rsidRPr="00187B88">
        <w:rPr>
          <w:rFonts w:ascii="Times New Roman" w:hAnsi="Times New Roman" w:cs="Times New Roman"/>
        </w:rPr>
        <w:t xml:space="preserve"> </w:t>
      </w:r>
    </w:p>
    <w:p w14:paraId="0ECA7709" w14:textId="659768ED" w:rsidR="0006567D" w:rsidRPr="00187B88" w:rsidRDefault="0006567D" w:rsidP="0006567D">
      <w:pPr>
        <w:rPr>
          <w:rFonts w:ascii="Times New Roman" w:hAnsi="Times New Roman" w:cs="Times New Roman"/>
        </w:rPr>
      </w:pPr>
      <w:r w:rsidRPr="00187B88">
        <w:rPr>
          <w:rFonts w:ascii="Times New Roman" w:hAnsi="Times New Roman" w:cs="Times New Roman"/>
        </w:rPr>
        <w:t>Declining state funding and declining enrollments force un</w:t>
      </w:r>
      <w:r w:rsidR="00187B88">
        <w:rPr>
          <w:rFonts w:ascii="Times New Roman" w:hAnsi="Times New Roman" w:cs="Times New Roman"/>
        </w:rPr>
        <w:t>iversities to make cuts that</w:t>
      </w:r>
      <w:r w:rsidR="00415045" w:rsidRPr="00187B88">
        <w:rPr>
          <w:rFonts w:ascii="Times New Roman" w:hAnsi="Times New Roman" w:cs="Times New Roman"/>
        </w:rPr>
        <w:t xml:space="preserve"> lack academic integrity, even if they are justified in the name of efficiency or cost-savings. </w:t>
      </w:r>
      <w:r w:rsidRPr="00187B88">
        <w:rPr>
          <w:rFonts w:ascii="Times New Roman" w:hAnsi="Times New Roman" w:cs="Times New Roman"/>
        </w:rPr>
        <w:t>And insofar as private institutions in Illinois often rely on student MAP grants, they too feel the pressure to eat into their reserves to sustain students who lack enough funds to pay the full cost of tuition; this in turn adds to the pressure to downsize the school’s academic offerings by consolidating and realigning academic programs in ways si</w:t>
      </w:r>
      <w:r w:rsidR="009E1E5B">
        <w:rPr>
          <w:rFonts w:ascii="Times New Roman" w:hAnsi="Times New Roman" w:cs="Times New Roman"/>
        </w:rPr>
        <w:t>milar to those that many public universities</w:t>
      </w:r>
      <w:r w:rsidRPr="00187B88">
        <w:rPr>
          <w:rFonts w:ascii="Times New Roman" w:hAnsi="Times New Roman" w:cs="Times New Roman"/>
        </w:rPr>
        <w:t xml:space="preserve"> are beginning to do. </w:t>
      </w:r>
    </w:p>
    <w:p w14:paraId="60A4F10B" w14:textId="45FA1466" w:rsidR="00417098" w:rsidRPr="00187B88" w:rsidRDefault="00142FF1" w:rsidP="00A66ADF">
      <w:pPr>
        <w:rPr>
          <w:rFonts w:ascii="Times New Roman" w:hAnsi="Times New Roman" w:cs="Times New Roman"/>
        </w:rPr>
      </w:pPr>
      <w:r w:rsidRPr="00187B88">
        <w:rPr>
          <w:rFonts w:ascii="Times New Roman" w:hAnsi="Times New Roman" w:cs="Times New Roman"/>
        </w:rPr>
        <w:t>Four</w:t>
      </w:r>
      <w:r w:rsidR="00374EDF" w:rsidRPr="00187B88">
        <w:rPr>
          <w:rFonts w:ascii="Times New Roman" w:hAnsi="Times New Roman" w:cs="Times New Roman"/>
        </w:rPr>
        <w:t xml:space="preserve"> kinds of program prioritization and consolidation seem of particular concern:  </w:t>
      </w:r>
      <w:r w:rsidR="00505DB6" w:rsidRPr="00187B88">
        <w:rPr>
          <w:rFonts w:ascii="Times New Roman" w:hAnsi="Times New Roman" w:cs="Times New Roman"/>
        </w:rPr>
        <w:t>1) efforts at state-wide</w:t>
      </w:r>
      <w:r w:rsidR="00252476" w:rsidRPr="00187B88">
        <w:rPr>
          <w:rFonts w:ascii="Times New Roman" w:hAnsi="Times New Roman" w:cs="Times New Roman"/>
        </w:rPr>
        <w:t xml:space="preserve"> or regional</w:t>
      </w:r>
      <w:r w:rsidR="00505DB6" w:rsidRPr="00187B88">
        <w:rPr>
          <w:rFonts w:ascii="Times New Roman" w:hAnsi="Times New Roman" w:cs="Times New Roman"/>
        </w:rPr>
        <w:t xml:space="preserve"> reorganizations of program offerings tha</w:t>
      </w:r>
      <w:r w:rsidR="004662B2" w:rsidRPr="00187B88">
        <w:rPr>
          <w:rFonts w:ascii="Times New Roman" w:hAnsi="Times New Roman" w:cs="Times New Roman"/>
        </w:rPr>
        <w:t>t encourage higher ed institutio</w:t>
      </w:r>
      <w:r w:rsidR="00505DB6" w:rsidRPr="00187B88">
        <w:rPr>
          <w:rFonts w:ascii="Times New Roman" w:hAnsi="Times New Roman" w:cs="Times New Roman"/>
        </w:rPr>
        <w:t xml:space="preserve">ns to specialize in programs not offered </w:t>
      </w:r>
      <w:r w:rsidR="00252476" w:rsidRPr="00187B88">
        <w:rPr>
          <w:rFonts w:ascii="Times New Roman" w:hAnsi="Times New Roman" w:cs="Times New Roman"/>
        </w:rPr>
        <w:t>elsewhere</w:t>
      </w:r>
      <w:r w:rsidRPr="00187B88">
        <w:rPr>
          <w:rFonts w:ascii="Times New Roman" w:hAnsi="Times New Roman" w:cs="Times New Roman"/>
        </w:rPr>
        <w:t xml:space="preserve">; </w:t>
      </w:r>
      <w:r w:rsidR="00505DB6" w:rsidRPr="00187B88">
        <w:rPr>
          <w:rFonts w:ascii="Times New Roman" w:hAnsi="Times New Roman" w:cs="Times New Roman"/>
        </w:rPr>
        <w:t>2</w:t>
      </w:r>
      <w:r w:rsidR="00374EDF" w:rsidRPr="00187B88">
        <w:rPr>
          <w:rFonts w:ascii="Times New Roman" w:hAnsi="Times New Roman" w:cs="Times New Roman"/>
        </w:rPr>
        <w:t>)</w:t>
      </w:r>
      <w:r w:rsidR="00505DB6" w:rsidRPr="00187B88">
        <w:rPr>
          <w:rFonts w:ascii="Times New Roman" w:hAnsi="Times New Roman" w:cs="Times New Roman"/>
        </w:rPr>
        <w:t xml:space="preserve"> </w:t>
      </w:r>
      <w:r w:rsidR="00985601" w:rsidRPr="00187B88">
        <w:rPr>
          <w:rFonts w:ascii="Times New Roman" w:hAnsi="Times New Roman" w:cs="Times New Roman"/>
        </w:rPr>
        <w:t xml:space="preserve">using Illinois’ </w:t>
      </w:r>
      <w:r w:rsidR="00374EDF" w:rsidRPr="00187B88">
        <w:rPr>
          <w:rFonts w:ascii="Times New Roman" w:hAnsi="Times New Roman" w:cs="Times New Roman"/>
        </w:rPr>
        <w:t>Lo</w:t>
      </w:r>
      <w:r w:rsidR="00985601" w:rsidRPr="00187B88">
        <w:rPr>
          <w:rFonts w:ascii="Times New Roman" w:hAnsi="Times New Roman" w:cs="Times New Roman"/>
        </w:rPr>
        <w:t>w-Producing Program R</w:t>
      </w:r>
      <w:r w:rsidR="00374EDF" w:rsidRPr="00187B88">
        <w:rPr>
          <w:rFonts w:ascii="Times New Roman" w:hAnsi="Times New Roman" w:cs="Times New Roman"/>
        </w:rPr>
        <w:t xml:space="preserve">eport to </w:t>
      </w:r>
      <w:r w:rsidR="003149FA" w:rsidRPr="00187B88">
        <w:rPr>
          <w:rFonts w:ascii="Times New Roman" w:hAnsi="Times New Roman" w:cs="Times New Roman"/>
        </w:rPr>
        <w:t>close liberal arts programs even when they</w:t>
      </w:r>
      <w:r w:rsidR="00374EDF" w:rsidRPr="00187B88">
        <w:rPr>
          <w:rFonts w:ascii="Times New Roman" w:hAnsi="Times New Roman" w:cs="Times New Roman"/>
        </w:rPr>
        <w:t xml:space="preserve"> serve b</w:t>
      </w:r>
      <w:r w:rsidR="003149FA" w:rsidRPr="00187B88">
        <w:rPr>
          <w:rFonts w:ascii="Times New Roman" w:hAnsi="Times New Roman" w:cs="Times New Roman"/>
        </w:rPr>
        <w:t>roader student populations</w:t>
      </w:r>
      <w:r w:rsidR="00252476" w:rsidRPr="00187B88">
        <w:rPr>
          <w:rFonts w:ascii="Times New Roman" w:hAnsi="Times New Roman" w:cs="Times New Roman"/>
        </w:rPr>
        <w:t xml:space="preserve"> and are defining features of a university;</w:t>
      </w:r>
      <w:r w:rsidR="00417098" w:rsidRPr="00187B88">
        <w:rPr>
          <w:rStyle w:val="FootnoteReference"/>
          <w:rFonts w:ascii="Times New Roman" w:hAnsi="Times New Roman" w:cs="Times New Roman"/>
        </w:rPr>
        <w:t xml:space="preserve"> </w:t>
      </w:r>
      <w:r w:rsidRPr="00187B88">
        <w:rPr>
          <w:rFonts w:ascii="Times New Roman" w:hAnsi="Times New Roman" w:cs="Times New Roman"/>
        </w:rPr>
        <w:t>3) as a result of the above efforts, eliminating or outsourcing course offerings traditionally found at many locations (especially in the liberal arts and sciences); 4</w:t>
      </w:r>
      <w:r w:rsidR="00505DB6" w:rsidRPr="00187B88">
        <w:rPr>
          <w:rFonts w:ascii="Times New Roman" w:hAnsi="Times New Roman" w:cs="Times New Roman"/>
        </w:rPr>
        <w:t>)</w:t>
      </w:r>
      <w:r w:rsidR="003149FA" w:rsidRPr="00187B88">
        <w:rPr>
          <w:rFonts w:ascii="Times New Roman" w:hAnsi="Times New Roman" w:cs="Times New Roman"/>
        </w:rPr>
        <w:t xml:space="preserve"> </w:t>
      </w:r>
      <w:r w:rsidRPr="00187B88">
        <w:rPr>
          <w:rFonts w:ascii="Times New Roman" w:hAnsi="Times New Roman" w:cs="Times New Roman"/>
        </w:rPr>
        <w:t xml:space="preserve">by failing to involve faculty in meaningful, bottom-up ways in deliberations about program realignments, administrators often create weirdly </w:t>
      </w:r>
      <w:r w:rsidR="00374EDF" w:rsidRPr="00187B88">
        <w:rPr>
          <w:rFonts w:ascii="Times New Roman" w:hAnsi="Times New Roman" w:cs="Times New Roman"/>
        </w:rPr>
        <w:t>hybrid depar</w:t>
      </w:r>
      <w:r w:rsidR="00505DB6" w:rsidRPr="00187B88">
        <w:rPr>
          <w:rFonts w:ascii="Times New Roman" w:hAnsi="Times New Roman" w:cs="Times New Roman"/>
        </w:rPr>
        <w:t>tments in the name of efficiency rather</w:t>
      </w:r>
      <w:r w:rsidR="00374EDF" w:rsidRPr="00187B88">
        <w:rPr>
          <w:rFonts w:ascii="Times New Roman" w:hAnsi="Times New Roman" w:cs="Times New Roman"/>
        </w:rPr>
        <w:t xml:space="preserve"> than </w:t>
      </w:r>
      <w:r w:rsidRPr="00187B88">
        <w:rPr>
          <w:rFonts w:ascii="Times New Roman" w:hAnsi="Times New Roman" w:cs="Times New Roman"/>
        </w:rPr>
        <w:t>intellectual coherence.</w:t>
      </w:r>
    </w:p>
    <w:p w14:paraId="0C0142D7" w14:textId="4DCF823D" w:rsidR="009D24F0" w:rsidRPr="00187B88" w:rsidRDefault="00417098" w:rsidP="00252476">
      <w:pPr>
        <w:rPr>
          <w:rFonts w:ascii="Times New Roman" w:hAnsi="Times New Roman" w:cs="Times New Roman"/>
        </w:rPr>
      </w:pPr>
      <w:r w:rsidRPr="00187B88">
        <w:rPr>
          <w:rFonts w:ascii="Times New Roman" w:hAnsi="Times New Roman" w:cs="Times New Roman"/>
        </w:rPr>
        <w:t>In more fully describing below our concerns regarding</w:t>
      </w:r>
      <w:r w:rsidR="004662B2" w:rsidRPr="00187B88">
        <w:rPr>
          <w:rFonts w:ascii="Times New Roman" w:hAnsi="Times New Roman" w:cs="Times New Roman"/>
        </w:rPr>
        <w:t xml:space="preserve"> program </w:t>
      </w:r>
      <w:r w:rsidRPr="00187B88">
        <w:rPr>
          <w:rFonts w:ascii="Times New Roman" w:hAnsi="Times New Roman" w:cs="Times New Roman"/>
        </w:rPr>
        <w:t xml:space="preserve">realignment, </w:t>
      </w:r>
      <w:r w:rsidR="00252476" w:rsidRPr="00187B88">
        <w:rPr>
          <w:rFonts w:ascii="Times New Roman" w:hAnsi="Times New Roman" w:cs="Times New Roman"/>
        </w:rPr>
        <w:t>the Faculty Advisory Council of the Illinois Board of Higher Education urges the IBHE, university administrators, university government liaisons, and the state legislative and executive branches to be m</w:t>
      </w:r>
      <w:r w:rsidRPr="00187B88">
        <w:rPr>
          <w:rFonts w:ascii="Times New Roman" w:hAnsi="Times New Roman" w:cs="Times New Roman"/>
        </w:rPr>
        <w:t xml:space="preserve">indful of the following </w:t>
      </w:r>
      <w:r w:rsidR="00252476" w:rsidRPr="00187B88">
        <w:rPr>
          <w:rFonts w:ascii="Times New Roman" w:hAnsi="Times New Roman" w:cs="Times New Roman"/>
        </w:rPr>
        <w:t xml:space="preserve"> with </w:t>
      </w:r>
      <w:r w:rsidR="009D24F0" w:rsidRPr="00187B88">
        <w:rPr>
          <w:rFonts w:ascii="Times New Roman" w:hAnsi="Times New Roman" w:cs="Times New Roman"/>
        </w:rPr>
        <w:t>regard to program prioritization and consolidation, the outsourcing of General E</w:t>
      </w:r>
      <w:r w:rsidR="00252476" w:rsidRPr="00187B88">
        <w:rPr>
          <w:rFonts w:ascii="Times New Roman" w:hAnsi="Times New Roman" w:cs="Times New Roman"/>
        </w:rPr>
        <w:t>ducation curricula, and the involvement of faculty in finding academically responsible and fiscally sustainable solutions for Illinois’ colleges and universities:</w:t>
      </w:r>
    </w:p>
    <w:p w14:paraId="276DEAC1" w14:textId="77777777" w:rsidR="009D24F0" w:rsidRPr="00187B88" w:rsidRDefault="009D24F0" w:rsidP="00252476">
      <w:pPr>
        <w:rPr>
          <w:rFonts w:ascii="Times New Roman" w:hAnsi="Times New Roman" w:cs="Times New Roman"/>
        </w:rPr>
      </w:pPr>
    </w:p>
    <w:p w14:paraId="1A21B9B0" w14:textId="6BBFA23F" w:rsidR="007C3E94" w:rsidRPr="00187B88" w:rsidRDefault="004662B2" w:rsidP="007F4D7A">
      <w:pPr>
        <w:pStyle w:val="ListParagraph"/>
        <w:numPr>
          <w:ilvl w:val="0"/>
          <w:numId w:val="10"/>
        </w:numPr>
        <w:rPr>
          <w:rFonts w:ascii="Times New Roman" w:hAnsi="Times New Roman" w:cs="Times New Roman"/>
          <w:b/>
        </w:rPr>
      </w:pPr>
      <w:r w:rsidRPr="00187B88">
        <w:rPr>
          <w:rFonts w:ascii="Times New Roman" w:hAnsi="Times New Roman" w:cs="Times New Roman"/>
          <w:b/>
        </w:rPr>
        <w:t xml:space="preserve">On Efforts at Regional or State-Wide </w:t>
      </w:r>
      <w:r w:rsidR="00415045" w:rsidRPr="00187B88">
        <w:rPr>
          <w:rFonts w:ascii="Times New Roman" w:hAnsi="Times New Roman" w:cs="Times New Roman"/>
          <w:b/>
        </w:rPr>
        <w:t>Consolidation of P</w:t>
      </w:r>
      <w:r w:rsidR="007C3E94" w:rsidRPr="00187B88">
        <w:rPr>
          <w:rFonts w:ascii="Times New Roman" w:hAnsi="Times New Roman" w:cs="Times New Roman"/>
          <w:b/>
        </w:rPr>
        <w:t>rograms</w:t>
      </w:r>
    </w:p>
    <w:p w14:paraId="31C03BCE" w14:textId="18A6F060" w:rsidR="00415045" w:rsidRPr="00187B88" w:rsidRDefault="004B148E" w:rsidP="00415045">
      <w:pPr>
        <w:rPr>
          <w:rFonts w:ascii="Times New Roman" w:hAnsi="Times New Roman" w:cs="Times New Roman"/>
        </w:rPr>
      </w:pPr>
      <w:r w:rsidRPr="00187B88">
        <w:rPr>
          <w:rFonts w:ascii="Times New Roman" w:hAnsi="Times New Roman" w:cs="Times New Roman"/>
        </w:rPr>
        <w:lastRenderedPageBreak/>
        <w:t xml:space="preserve">Some </w:t>
      </w:r>
      <w:r w:rsidR="00EA3A9B" w:rsidRPr="00187B88">
        <w:rPr>
          <w:rFonts w:ascii="Times New Roman" w:hAnsi="Times New Roman" w:cs="Times New Roman"/>
        </w:rPr>
        <w:t xml:space="preserve">recurring </w:t>
      </w:r>
      <w:r w:rsidRPr="00187B88">
        <w:rPr>
          <w:rFonts w:ascii="Times New Roman" w:hAnsi="Times New Roman" w:cs="Times New Roman"/>
        </w:rPr>
        <w:t xml:space="preserve">efforts at program consolidation aim to divide up where degree programs are offered across different </w:t>
      </w:r>
      <w:r w:rsidR="00EA3A9B" w:rsidRPr="00187B88">
        <w:rPr>
          <w:rFonts w:ascii="Times New Roman" w:hAnsi="Times New Roman" w:cs="Times New Roman"/>
        </w:rPr>
        <w:t xml:space="preserve">regional or state institutions. But such efforts can be impractical and detrimental to the quality and accessibility of educational opportunities.  </w:t>
      </w:r>
    </w:p>
    <w:p w14:paraId="3821B802" w14:textId="77777777" w:rsidR="007F4D7A" w:rsidRPr="00187B88" w:rsidRDefault="007F4D7A" w:rsidP="007F4D7A">
      <w:pPr>
        <w:pStyle w:val="ListParagraph"/>
        <w:ind w:left="360"/>
        <w:rPr>
          <w:rFonts w:ascii="Times New Roman" w:hAnsi="Times New Roman" w:cs="Times New Roman"/>
          <w:b/>
        </w:rPr>
      </w:pPr>
    </w:p>
    <w:p w14:paraId="586C04D5" w14:textId="4EEE60B1" w:rsidR="004D31AE" w:rsidRPr="00187B88" w:rsidRDefault="00F85A6F" w:rsidP="007F4D7A">
      <w:pPr>
        <w:pStyle w:val="ListParagraph"/>
        <w:numPr>
          <w:ilvl w:val="0"/>
          <w:numId w:val="17"/>
        </w:numPr>
        <w:rPr>
          <w:rFonts w:ascii="Times New Roman" w:hAnsi="Times New Roman" w:cs="Times New Roman"/>
        </w:rPr>
      </w:pPr>
      <w:r w:rsidRPr="00187B88">
        <w:rPr>
          <w:rFonts w:ascii="Times New Roman" w:hAnsi="Times New Roman" w:cs="Times New Roman"/>
          <w:b/>
        </w:rPr>
        <w:t xml:space="preserve">State-wide </w:t>
      </w:r>
      <w:r w:rsidR="004D31AE" w:rsidRPr="00187B88">
        <w:rPr>
          <w:rFonts w:ascii="Times New Roman" w:hAnsi="Times New Roman" w:cs="Times New Roman"/>
          <w:b/>
        </w:rPr>
        <w:t xml:space="preserve">or region-wide </w:t>
      </w:r>
      <w:r w:rsidRPr="00187B88">
        <w:rPr>
          <w:rFonts w:ascii="Times New Roman" w:hAnsi="Times New Roman" w:cs="Times New Roman"/>
          <w:b/>
        </w:rPr>
        <w:t xml:space="preserve">efforts at consolidating programs </w:t>
      </w:r>
      <w:r w:rsidR="00F203BB" w:rsidRPr="00187B88">
        <w:rPr>
          <w:rFonts w:ascii="Times New Roman" w:hAnsi="Times New Roman" w:cs="Times New Roman"/>
          <w:b/>
        </w:rPr>
        <w:t xml:space="preserve">make troubling assumptions about student mobility.  </w:t>
      </w:r>
      <w:r w:rsidR="00F203BB" w:rsidRPr="00187B88">
        <w:rPr>
          <w:rFonts w:ascii="Times New Roman" w:hAnsi="Times New Roman" w:cs="Times New Roman"/>
        </w:rPr>
        <w:t>One third of American undergraduates change their major at least once, discovering their greatest strengths and str</w:t>
      </w:r>
      <w:r w:rsidR="004B0C6B">
        <w:rPr>
          <w:rFonts w:ascii="Times New Roman" w:hAnsi="Times New Roman" w:cs="Times New Roman"/>
        </w:rPr>
        <w:t>ongest interests after taking</w:t>
      </w:r>
      <w:r w:rsidR="00F203BB" w:rsidRPr="00187B88">
        <w:rPr>
          <w:rFonts w:ascii="Times New Roman" w:hAnsi="Times New Roman" w:cs="Times New Roman"/>
        </w:rPr>
        <w:t xml:space="preserve"> coursework in a wide variety of academic disciplines.</w:t>
      </w:r>
      <w:r w:rsidR="00F203BB" w:rsidRPr="00187B88">
        <w:rPr>
          <w:rStyle w:val="FootnoteReference"/>
          <w:rFonts w:ascii="Times New Roman" w:hAnsi="Times New Roman" w:cs="Times New Roman"/>
        </w:rPr>
        <w:footnoteReference w:id="2"/>
      </w:r>
      <w:r w:rsidR="00F203BB" w:rsidRPr="00187B88">
        <w:rPr>
          <w:rFonts w:ascii="Times New Roman" w:hAnsi="Times New Roman" w:cs="Times New Roman"/>
        </w:rPr>
        <w:t xml:space="preserve">  Not only does the consolidation of academic programs </w:t>
      </w:r>
      <w:r w:rsidR="00A66ADF" w:rsidRPr="00187B88">
        <w:rPr>
          <w:rFonts w:ascii="Times New Roman" w:hAnsi="Times New Roman" w:cs="Times New Roman"/>
        </w:rPr>
        <w:t xml:space="preserve">(where, for example, geology or nursing programs might only be offered at a single campus) </w:t>
      </w:r>
      <w:r w:rsidR="00F203BB" w:rsidRPr="00187B88">
        <w:rPr>
          <w:rFonts w:ascii="Times New Roman" w:hAnsi="Times New Roman" w:cs="Times New Roman"/>
        </w:rPr>
        <w:t>limit students</w:t>
      </w:r>
      <w:r w:rsidR="00A66ADF" w:rsidRPr="00187B88">
        <w:rPr>
          <w:rFonts w:ascii="Times New Roman" w:hAnsi="Times New Roman" w:cs="Times New Roman"/>
        </w:rPr>
        <w:t>’ ability to</w:t>
      </w:r>
      <w:r w:rsidR="00540044">
        <w:rPr>
          <w:rFonts w:ascii="Times New Roman" w:hAnsi="Times New Roman" w:cs="Times New Roman"/>
        </w:rPr>
        <w:t xml:space="preserve"> explore their abilities, it also</w:t>
      </w:r>
      <w:r w:rsidR="00A66ADF" w:rsidRPr="00187B88">
        <w:rPr>
          <w:rFonts w:ascii="Times New Roman" w:hAnsi="Times New Roman" w:cs="Times New Roman"/>
        </w:rPr>
        <w:t xml:space="preserve"> may prevent many students from changing majors.  Quite simply, relocating to another school is not an option for many Illinois students.</w:t>
      </w:r>
      <w:r w:rsidR="004D31AE" w:rsidRPr="00187B88">
        <w:rPr>
          <w:rFonts w:ascii="Times New Roman" w:hAnsi="Times New Roman" w:cs="Times New Roman"/>
        </w:rPr>
        <w:t xml:space="preserve"> </w:t>
      </w:r>
    </w:p>
    <w:p w14:paraId="46A4D32A" w14:textId="77777777" w:rsidR="004D31AE" w:rsidRPr="00187B88" w:rsidRDefault="004D31AE" w:rsidP="004D31AE">
      <w:pPr>
        <w:pStyle w:val="ListParagraph"/>
        <w:rPr>
          <w:rFonts w:ascii="Times New Roman" w:hAnsi="Times New Roman" w:cs="Times New Roman"/>
          <w:b/>
        </w:rPr>
      </w:pPr>
    </w:p>
    <w:p w14:paraId="6FA84905" w14:textId="2F8367BD" w:rsidR="00A66ADF" w:rsidRPr="00187B88" w:rsidRDefault="004D31AE" w:rsidP="004D31AE">
      <w:pPr>
        <w:pStyle w:val="ListParagraph"/>
        <w:rPr>
          <w:rFonts w:ascii="Times New Roman" w:hAnsi="Times New Roman" w:cs="Times New Roman"/>
        </w:rPr>
      </w:pPr>
      <w:r w:rsidRPr="00187B88">
        <w:rPr>
          <w:rFonts w:ascii="Times New Roman" w:hAnsi="Times New Roman" w:cs="Times New Roman"/>
        </w:rPr>
        <w:t>The same concern applies for community colleges, especially where transportation mobility is time-consuming</w:t>
      </w:r>
      <w:r w:rsidR="009F2DAE" w:rsidRPr="00187B88">
        <w:rPr>
          <w:rFonts w:ascii="Times New Roman" w:hAnsi="Times New Roman" w:cs="Times New Roman"/>
        </w:rPr>
        <w:t xml:space="preserve"> (especially for those with families or full-time jobs)</w:t>
      </w:r>
      <w:r w:rsidRPr="00187B88">
        <w:rPr>
          <w:rFonts w:ascii="Times New Roman" w:hAnsi="Times New Roman" w:cs="Times New Roman"/>
        </w:rPr>
        <w:t xml:space="preserve"> or not readily available. Chicago’s City College</w:t>
      </w:r>
      <w:r w:rsidR="00240848" w:rsidRPr="00187B88">
        <w:rPr>
          <w:rFonts w:ascii="Times New Roman" w:hAnsi="Times New Roman" w:cs="Times New Roman"/>
        </w:rPr>
        <w:t xml:space="preserve"> “Reinvention” experiment, which divided</w:t>
      </w:r>
      <w:r w:rsidR="005E07D3" w:rsidRPr="00187B88">
        <w:rPr>
          <w:rFonts w:ascii="Times New Roman" w:hAnsi="Times New Roman" w:cs="Times New Roman"/>
        </w:rPr>
        <w:t xml:space="preserve"> up program offerings</w:t>
      </w:r>
      <w:r w:rsidRPr="00187B88">
        <w:rPr>
          <w:rFonts w:ascii="Times New Roman" w:hAnsi="Times New Roman" w:cs="Times New Roman"/>
        </w:rPr>
        <w:t xml:space="preserve"> across </w:t>
      </w:r>
      <w:r w:rsidR="005E07D3" w:rsidRPr="00187B88">
        <w:rPr>
          <w:rFonts w:ascii="Times New Roman" w:hAnsi="Times New Roman" w:cs="Times New Roman"/>
        </w:rPr>
        <w:t xml:space="preserve">its </w:t>
      </w:r>
      <w:r w:rsidRPr="00187B88">
        <w:rPr>
          <w:rFonts w:ascii="Times New Roman" w:hAnsi="Times New Roman" w:cs="Times New Roman"/>
        </w:rPr>
        <w:t>comm</w:t>
      </w:r>
      <w:r w:rsidR="005E07D3" w:rsidRPr="00187B88">
        <w:rPr>
          <w:rFonts w:ascii="Times New Roman" w:hAnsi="Times New Roman" w:cs="Times New Roman"/>
        </w:rPr>
        <w:t>unity colleges</w:t>
      </w:r>
      <w:r w:rsidR="00240848" w:rsidRPr="00187B88">
        <w:rPr>
          <w:rFonts w:ascii="Times New Roman" w:hAnsi="Times New Roman" w:cs="Times New Roman"/>
        </w:rPr>
        <w:t>,</w:t>
      </w:r>
      <w:r w:rsidR="005E07D3" w:rsidRPr="00187B88">
        <w:rPr>
          <w:rFonts w:ascii="Times New Roman" w:hAnsi="Times New Roman" w:cs="Times New Roman"/>
        </w:rPr>
        <w:t xml:space="preserve"> may have fostered improved graduation rates (although “City Colleges lowered some standards to boost those numbers”); but it was also accompanied by faculty discontent and by a</w:t>
      </w:r>
      <w:r w:rsidRPr="00187B88">
        <w:rPr>
          <w:rFonts w:ascii="Times New Roman" w:hAnsi="Times New Roman" w:cs="Times New Roman"/>
        </w:rPr>
        <w:t xml:space="preserve"> dramatic enrollment drop</w:t>
      </w:r>
      <w:r w:rsidR="005E07D3" w:rsidRPr="00187B88">
        <w:rPr>
          <w:rFonts w:ascii="Times New Roman" w:hAnsi="Times New Roman" w:cs="Times New Roman"/>
        </w:rPr>
        <w:t xml:space="preserve"> of 32% </w:t>
      </w:r>
      <w:r w:rsidR="00240848" w:rsidRPr="00187B88">
        <w:rPr>
          <w:rFonts w:ascii="Times New Roman" w:hAnsi="Times New Roman" w:cs="Times New Roman"/>
        </w:rPr>
        <w:t xml:space="preserve">(34,000 students) </w:t>
      </w:r>
      <w:r w:rsidR="005E07D3" w:rsidRPr="00187B88">
        <w:rPr>
          <w:rFonts w:ascii="Times New Roman" w:hAnsi="Times New Roman" w:cs="Times New Roman"/>
        </w:rPr>
        <w:t>since 2010</w:t>
      </w:r>
      <w:r w:rsidRPr="00187B88">
        <w:rPr>
          <w:rFonts w:ascii="Times New Roman" w:hAnsi="Times New Roman" w:cs="Times New Roman"/>
        </w:rPr>
        <w:t>.</w:t>
      </w:r>
      <w:r w:rsidR="00240848" w:rsidRPr="00187B88">
        <w:rPr>
          <w:rFonts w:ascii="Times New Roman" w:hAnsi="Times New Roman" w:cs="Times New Roman"/>
        </w:rPr>
        <w:t xml:space="preserve"> </w:t>
      </w:r>
      <w:r w:rsidR="00835318" w:rsidRPr="00187B88">
        <w:rPr>
          <w:rFonts w:ascii="Times New Roman" w:hAnsi="Times New Roman" w:cs="Times New Roman"/>
        </w:rPr>
        <w:t xml:space="preserve">Nursing enrollment alone dropped by 70% after nursing was offered exclusively at the Malcolm X campus. </w:t>
      </w:r>
      <w:r w:rsidR="00240848" w:rsidRPr="00187B88">
        <w:rPr>
          <w:rFonts w:ascii="Times New Roman" w:hAnsi="Times New Roman" w:cs="Times New Roman"/>
        </w:rPr>
        <w:t xml:space="preserve">“Reinvention” moved Chicago’s community colleges “away from its original mission: </w:t>
      </w:r>
      <w:r w:rsidR="00835318" w:rsidRPr="00187B88">
        <w:rPr>
          <w:rFonts w:ascii="Times New Roman" w:hAnsi="Times New Roman" w:cs="Times New Roman"/>
        </w:rPr>
        <w:t>serving every one, at any level” in a locally accessible way.</w:t>
      </w:r>
      <w:r w:rsidR="00240848" w:rsidRPr="00187B88">
        <w:rPr>
          <w:rStyle w:val="FootnoteReference"/>
          <w:rFonts w:ascii="Times New Roman" w:hAnsi="Times New Roman" w:cs="Times New Roman"/>
        </w:rPr>
        <w:footnoteReference w:id="3"/>
      </w:r>
      <w:r w:rsidR="009F2DAE" w:rsidRPr="00187B88">
        <w:rPr>
          <w:rFonts w:ascii="Times New Roman" w:hAnsi="Times New Roman" w:cs="Times New Roman"/>
        </w:rPr>
        <w:t xml:space="preserve"> </w:t>
      </w:r>
      <w:r w:rsidR="004662B2" w:rsidRPr="00187B88">
        <w:rPr>
          <w:rFonts w:ascii="Times New Roman" w:hAnsi="Times New Roman" w:cs="Times New Roman"/>
        </w:rPr>
        <w:br/>
      </w:r>
    </w:p>
    <w:p w14:paraId="20CDD2FC" w14:textId="77777777" w:rsidR="009B1FE3" w:rsidRPr="00187B88" w:rsidRDefault="00F85A6F" w:rsidP="007F4D7A">
      <w:pPr>
        <w:pStyle w:val="ListParagraph"/>
        <w:numPr>
          <w:ilvl w:val="0"/>
          <w:numId w:val="17"/>
        </w:numPr>
        <w:rPr>
          <w:rFonts w:ascii="Times New Roman" w:hAnsi="Times New Roman" w:cs="Times New Roman"/>
          <w:b/>
        </w:rPr>
      </w:pPr>
      <w:r w:rsidRPr="00187B88">
        <w:rPr>
          <w:rFonts w:ascii="Times New Roman" w:hAnsi="Times New Roman" w:cs="Times New Roman"/>
          <w:b/>
        </w:rPr>
        <w:t>State-wide efforts at consolidating programs preclud</w:t>
      </w:r>
      <w:r w:rsidR="00E22712" w:rsidRPr="00187B88">
        <w:rPr>
          <w:rFonts w:ascii="Times New Roman" w:hAnsi="Times New Roman" w:cs="Times New Roman"/>
          <w:b/>
        </w:rPr>
        <w:t>e</w:t>
      </w:r>
      <w:r w:rsidRPr="00187B88">
        <w:rPr>
          <w:rFonts w:ascii="Times New Roman" w:hAnsi="Times New Roman" w:cs="Times New Roman"/>
          <w:b/>
        </w:rPr>
        <w:t xml:space="preserve"> opportunities for interdisciplinary collaborations</w:t>
      </w:r>
      <w:r w:rsidR="00A66ADF" w:rsidRPr="00187B88">
        <w:rPr>
          <w:rFonts w:ascii="Times New Roman" w:hAnsi="Times New Roman" w:cs="Times New Roman"/>
          <w:b/>
        </w:rPr>
        <w:t xml:space="preserve">—which require a commitment to disciplines available at each university. </w:t>
      </w:r>
      <w:r w:rsidR="00A66ADF" w:rsidRPr="00187B88">
        <w:rPr>
          <w:rFonts w:ascii="Times New Roman" w:hAnsi="Times New Roman" w:cs="Times New Roman"/>
        </w:rPr>
        <w:t>The</w:t>
      </w:r>
      <w:r w:rsidR="00A66ADF" w:rsidRPr="00187B88">
        <w:rPr>
          <w:rFonts w:ascii="Times New Roman" w:hAnsi="Times New Roman" w:cs="Times New Roman"/>
          <w:b/>
        </w:rPr>
        <w:t xml:space="preserve"> </w:t>
      </w:r>
      <w:r w:rsidR="00A66ADF" w:rsidRPr="00187B88">
        <w:rPr>
          <w:rFonts w:ascii="Times New Roman" w:hAnsi="Times New Roman" w:cs="Times New Roman"/>
        </w:rPr>
        <w:t xml:space="preserve">interdisciplinary nature of much current research and public reflection requires people with diverse training to be housed near one another in the same university. Here is the perspective of Eric Baack, a biologist at Luther College, about the trend to specialize programs at only one university—an experiment Iowa has been trying:  </w:t>
      </w:r>
      <w:r w:rsidR="00A66ADF" w:rsidRPr="00187B88">
        <w:rPr>
          <w:rFonts w:ascii="Times New Roman" w:eastAsia="Times New Roman" w:hAnsi="Times New Roman" w:cs="Times New Roman"/>
          <w:szCs w:val="19"/>
        </w:rPr>
        <w:t xml:space="preserve">"In Iowa, most of the ecology is at Iowa State University, which has the agriculture programs.  Genetics, on the other hand, is strongest at the University of Iowa, which has the </w:t>
      </w:r>
      <w:r w:rsidR="009B1FE3" w:rsidRPr="00187B88">
        <w:rPr>
          <w:rFonts w:ascii="Times New Roman" w:eastAsia="Times New Roman" w:hAnsi="Times New Roman" w:cs="Times New Roman"/>
          <w:szCs w:val="19"/>
        </w:rPr>
        <w:t>medical school.</w:t>
      </w:r>
      <w:r w:rsidR="00A66ADF" w:rsidRPr="00187B88">
        <w:rPr>
          <w:rFonts w:ascii="Times New Roman" w:eastAsia="Times New Roman" w:hAnsi="Times New Roman" w:cs="Times New Roman"/>
          <w:szCs w:val="19"/>
        </w:rPr>
        <w:t xml:space="preserve"> As a result, neither place has the sort of evolutionary biology that I would recommend to my students - one that unites a strong understanding of ecology with a strong foundation in population genetics and genetic tools…. Many scientific questions cross disciplines.  The challenge of putting separate disciplines on separate campuses can make it challenging for students to find the faculty expertise in different areas to answer a question." Similarly, some scientists turn to philosophy to help them think through a problem in their own field. Many interdisciplinary programs for undergraduates also draw on expertise from diverse liberal arts </w:t>
      </w:r>
      <w:r w:rsidR="009B1FE3" w:rsidRPr="00187B88">
        <w:rPr>
          <w:rFonts w:ascii="Times New Roman" w:eastAsia="Times New Roman" w:hAnsi="Times New Roman" w:cs="Times New Roman"/>
          <w:szCs w:val="19"/>
        </w:rPr>
        <w:t xml:space="preserve">and sciences </w:t>
      </w:r>
      <w:r w:rsidR="00A66ADF" w:rsidRPr="00187B88">
        <w:rPr>
          <w:rFonts w:ascii="Times New Roman" w:eastAsia="Times New Roman" w:hAnsi="Times New Roman" w:cs="Times New Roman"/>
          <w:szCs w:val="19"/>
        </w:rPr>
        <w:t>fields</w:t>
      </w:r>
      <w:r w:rsidR="009B1FE3" w:rsidRPr="00187B88">
        <w:rPr>
          <w:rFonts w:ascii="Times New Roman" w:eastAsia="Times New Roman" w:hAnsi="Times New Roman" w:cs="Times New Roman"/>
          <w:szCs w:val="19"/>
        </w:rPr>
        <w:t>.</w:t>
      </w:r>
    </w:p>
    <w:p w14:paraId="23DF37B7" w14:textId="77777777" w:rsidR="00EA3A9B" w:rsidRPr="00187B88" w:rsidRDefault="00EA3A9B" w:rsidP="009B1FE3">
      <w:pPr>
        <w:pStyle w:val="ListParagraph"/>
        <w:rPr>
          <w:rFonts w:ascii="Times New Roman" w:hAnsi="Times New Roman" w:cs="Times New Roman"/>
          <w:b/>
        </w:rPr>
      </w:pPr>
    </w:p>
    <w:p w14:paraId="45691F9A" w14:textId="77777777" w:rsidR="00EA3A9B" w:rsidRPr="00187B88" w:rsidRDefault="00EA3A9B" w:rsidP="009B1FE3">
      <w:pPr>
        <w:pStyle w:val="ListParagraph"/>
        <w:rPr>
          <w:rFonts w:ascii="Times New Roman" w:hAnsi="Times New Roman" w:cs="Times New Roman"/>
          <w:b/>
        </w:rPr>
      </w:pPr>
    </w:p>
    <w:p w14:paraId="6CEE32A8" w14:textId="77777777" w:rsidR="00EA3A9B" w:rsidRPr="00187B88" w:rsidRDefault="00EA3A9B" w:rsidP="009B1FE3">
      <w:pPr>
        <w:pStyle w:val="ListParagraph"/>
        <w:rPr>
          <w:rFonts w:ascii="Times New Roman" w:hAnsi="Times New Roman" w:cs="Times New Roman"/>
          <w:b/>
        </w:rPr>
      </w:pPr>
    </w:p>
    <w:p w14:paraId="091A3D76" w14:textId="77777777" w:rsidR="00EA3A9B" w:rsidRDefault="00EA3A9B" w:rsidP="009B1FE3">
      <w:pPr>
        <w:pStyle w:val="ListParagraph"/>
        <w:rPr>
          <w:rFonts w:ascii="Times New Roman" w:hAnsi="Times New Roman" w:cs="Times New Roman"/>
          <w:b/>
        </w:rPr>
      </w:pPr>
    </w:p>
    <w:p w14:paraId="2A004F21" w14:textId="77777777" w:rsidR="004B0C6B" w:rsidRPr="00187B88" w:rsidRDefault="004B0C6B" w:rsidP="009B1FE3">
      <w:pPr>
        <w:pStyle w:val="ListParagraph"/>
        <w:rPr>
          <w:rFonts w:ascii="Times New Roman" w:hAnsi="Times New Roman" w:cs="Times New Roman"/>
          <w:b/>
        </w:rPr>
      </w:pPr>
    </w:p>
    <w:p w14:paraId="6DAF20BC" w14:textId="77777777" w:rsidR="009B1FE3" w:rsidRPr="00187B88" w:rsidRDefault="009B1FE3" w:rsidP="009B1FE3">
      <w:pPr>
        <w:pStyle w:val="ListParagraph"/>
        <w:rPr>
          <w:rFonts w:ascii="Times New Roman" w:hAnsi="Times New Roman" w:cs="Times New Roman"/>
          <w:b/>
        </w:rPr>
      </w:pPr>
    </w:p>
    <w:p w14:paraId="21FBE5C6" w14:textId="23276103" w:rsidR="009B1FE3" w:rsidRPr="00187B88" w:rsidRDefault="009B1FE3" w:rsidP="007F4D7A">
      <w:pPr>
        <w:pStyle w:val="ListParagraph"/>
        <w:numPr>
          <w:ilvl w:val="0"/>
          <w:numId w:val="10"/>
        </w:numPr>
        <w:rPr>
          <w:rFonts w:ascii="Times New Roman" w:hAnsi="Times New Roman" w:cs="Times New Roman"/>
          <w:b/>
        </w:rPr>
      </w:pPr>
      <w:r w:rsidRPr="00187B88">
        <w:rPr>
          <w:rFonts w:ascii="Times New Roman" w:hAnsi="Times New Roman" w:cs="Times New Roman"/>
          <w:b/>
        </w:rPr>
        <w:t>On Program</w:t>
      </w:r>
      <w:r w:rsidR="00CF7955" w:rsidRPr="00187B88">
        <w:rPr>
          <w:rFonts w:ascii="Times New Roman" w:hAnsi="Times New Roman" w:cs="Times New Roman"/>
          <w:b/>
        </w:rPr>
        <w:t xml:space="preserve"> Prioritization </w:t>
      </w:r>
      <w:r w:rsidRPr="00187B88">
        <w:rPr>
          <w:rFonts w:ascii="Times New Roman" w:hAnsi="Times New Roman" w:cs="Times New Roman"/>
          <w:b/>
        </w:rPr>
        <w:t>Based on High-Enrolling Major Degree Programs</w:t>
      </w:r>
      <w:r w:rsidR="005C7826" w:rsidRPr="00187B88">
        <w:rPr>
          <w:rStyle w:val="FootnoteReference"/>
          <w:rFonts w:ascii="Times New Roman" w:hAnsi="Times New Roman" w:cs="Times New Roman"/>
        </w:rPr>
        <w:footnoteReference w:id="4"/>
      </w:r>
      <w:r w:rsidR="007F4D7A" w:rsidRPr="00187B88">
        <w:rPr>
          <w:rFonts w:ascii="Times New Roman" w:hAnsi="Times New Roman" w:cs="Times New Roman"/>
          <w:b/>
        </w:rPr>
        <w:br/>
      </w:r>
    </w:p>
    <w:p w14:paraId="1C2FBF03" w14:textId="0F7F2A84" w:rsidR="009B1FE3" w:rsidRPr="00187B88" w:rsidRDefault="009B1FE3" w:rsidP="007F4D7A">
      <w:pPr>
        <w:pStyle w:val="ListParagraph"/>
        <w:numPr>
          <w:ilvl w:val="0"/>
          <w:numId w:val="18"/>
        </w:numPr>
        <w:rPr>
          <w:rFonts w:ascii="Times New Roman" w:hAnsi="Times New Roman" w:cs="Times New Roman"/>
          <w:b/>
        </w:rPr>
      </w:pPr>
      <w:r w:rsidRPr="00187B88">
        <w:rPr>
          <w:rFonts w:ascii="Times New Roman" w:hAnsi="Times New Roman" w:cs="Times New Roman"/>
          <w:b/>
        </w:rPr>
        <w:t>Using Illinois’ legislatively-mandated Low-Producing Program Report to prioritize program offerings</w:t>
      </w:r>
      <w:r w:rsidR="00CF7955" w:rsidRPr="00187B88">
        <w:rPr>
          <w:rFonts w:ascii="Times New Roman" w:hAnsi="Times New Roman" w:cs="Times New Roman"/>
          <w:b/>
        </w:rPr>
        <w:t xml:space="preserve"> has reduced liberal arts major offerings and inhibited the values of generating and preserving knowledge that are core to any </w:t>
      </w:r>
      <w:r w:rsidR="00586BCD" w:rsidRPr="00187B88">
        <w:rPr>
          <w:rFonts w:ascii="Times New Roman" w:hAnsi="Times New Roman" w:cs="Times New Roman"/>
          <w:b/>
        </w:rPr>
        <w:t>four-year university or college.</w:t>
      </w:r>
    </w:p>
    <w:p w14:paraId="72209628" w14:textId="35403746" w:rsidR="00985601" w:rsidRPr="00187B88" w:rsidRDefault="00985601" w:rsidP="00985601">
      <w:pPr>
        <w:ind w:left="1080"/>
        <w:rPr>
          <w:rFonts w:ascii="Times New Roman" w:hAnsi="Times New Roman" w:cs="Times New Roman"/>
        </w:rPr>
      </w:pPr>
      <w:r w:rsidRPr="00187B88">
        <w:rPr>
          <w:rFonts w:ascii="Times New Roman" w:hAnsi="Times New Roman" w:cs="Times New Roman"/>
        </w:rPr>
        <w:t>W</w:t>
      </w:r>
      <w:r w:rsidR="009B1FE3" w:rsidRPr="00187B88">
        <w:rPr>
          <w:rFonts w:ascii="Times New Roman" w:hAnsi="Times New Roman" w:cs="Times New Roman"/>
        </w:rPr>
        <w:t>hile it is technically up to university administration to choose how to implement the legislatively-mandated Illinois’ Low-Producing Program Report, some institutions have cited the IBHE’s metrics of “40 majors”</w:t>
      </w:r>
      <w:r w:rsidR="00CF7955" w:rsidRPr="00187B88">
        <w:rPr>
          <w:rStyle w:val="FootnoteReference"/>
          <w:rFonts w:ascii="Times New Roman" w:hAnsi="Times New Roman" w:cs="Times New Roman"/>
        </w:rPr>
        <w:footnoteReference w:id="5"/>
      </w:r>
      <w:r w:rsidR="009B1FE3" w:rsidRPr="00187B88">
        <w:rPr>
          <w:rFonts w:ascii="Times New Roman" w:hAnsi="Times New Roman" w:cs="Times New Roman"/>
        </w:rPr>
        <w:t xml:space="preserve"> a year as the primary factor when choosing to eliminate a major, even when good arguments have been made to preserve small programs that serve all students through General Education and that serve s</w:t>
      </w:r>
      <w:r w:rsidR="004B0C6B">
        <w:rPr>
          <w:rFonts w:ascii="Times New Roman" w:hAnsi="Times New Roman" w:cs="Times New Roman"/>
        </w:rPr>
        <w:t>ome students through majors which</w:t>
      </w:r>
      <w:r w:rsidR="009B1FE3" w:rsidRPr="00187B88">
        <w:rPr>
          <w:rFonts w:ascii="Times New Roman" w:hAnsi="Times New Roman" w:cs="Times New Roman"/>
        </w:rPr>
        <w:t xml:space="preserve"> reflect long-standing commitments to understanding human history, culture, and meaning. Such programs range from African American studies to philosophy and many other areas of the humanities. Similarly, smaller science programs like physics and geology </w:t>
      </w:r>
      <w:r w:rsidR="00CA413F">
        <w:rPr>
          <w:rFonts w:ascii="Times New Roman" w:hAnsi="Times New Roman" w:cs="Times New Roman"/>
        </w:rPr>
        <w:t>are under threat, as are social sciences</w:t>
      </w:r>
      <w:r w:rsidR="009B1FE3" w:rsidRPr="00187B88">
        <w:rPr>
          <w:rFonts w:ascii="Times New Roman" w:hAnsi="Times New Roman" w:cs="Times New Roman"/>
        </w:rPr>
        <w:t xml:space="preserve"> like anthropology and economics.</w:t>
      </w:r>
    </w:p>
    <w:p w14:paraId="3BC510F9" w14:textId="3D08DDE4" w:rsidR="00586BCD" w:rsidRPr="00187B88" w:rsidRDefault="00237791" w:rsidP="00985601">
      <w:pPr>
        <w:ind w:left="1080"/>
        <w:rPr>
          <w:rFonts w:ascii="Times New Roman" w:hAnsi="Times New Roman" w:cs="Times New Roman"/>
        </w:rPr>
      </w:pPr>
      <w:r w:rsidRPr="00187B88">
        <w:rPr>
          <w:rFonts w:ascii="Times New Roman" w:hAnsi="Times New Roman" w:cs="Times New Roman"/>
        </w:rPr>
        <w:t>Moreover,</w:t>
      </w:r>
      <w:r w:rsidR="00586BCD" w:rsidRPr="00187B88">
        <w:rPr>
          <w:rFonts w:ascii="Times New Roman" w:hAnsi="Times New Roman" w:cs="Times New Roman"/>
        </w:rPr>
        <w:t xml:space="preserve"> the liberal arts</w:t>
      </w:r>
      <w:r w:rsidR="00002299" w:rsidRPr="00187B88">
        <w:rPr>
          <w:rFonts w:ascii="Times New Roman" w:hAnsi="Times New Roman" w:cs="Times New Roman"/>
        </w:rPr>
        <w:t xml:space="preserve"> and sciences generate</w:t>
      </w:r>
      <w:r w:rsidR="00586BCD" w:rsidRPr="00187B88">
        <w:rPr>
          <w:rFonts w:ascii="Times New Roman" w:hAnsi="Times New Roman" w:cs="Times New Roman"/>
        </w:rPr>
        <w:t xml:space="preserve"> and </w:t>
      </w:r>
      <w:r w:rsidR="00002299" w:rsidRPr="00187B88">
        <w:rPr>
          <w:rFonts w:ascii="Times New Roman" w:hAnsi="Times New Roman" w:cs="Times New Roman"/>
        </w:rPr>
        <w:t>preserve</w:t>
      </w:r>
      <w:r w:rsidR="00586BCD" w:rsidRPr="00187B88">
        <w:rPr>
          <w:rFonts w:ascii="Times New Roman" w:hAnsi="Times New Roman" w:cs="Times New Roman"/>
        </w:rPr>
        <w:t xml:space="preserve"> knowledge</w:t>
      </w:r>
      <w:r w:rsidR="00002299" w:rsidRPr="00187B88">
        <w:rPr>
          <w:rFonts w:ascii="Times New Roman" w:hAnsi="Times New Roman" w:cs="Times New Roman"/>
        </w:rPr>
        <w:t xml:space="preserve"> in a way that is not tied to immediate market values</w:t>
      </w:r>
      <w:r w:rsidR="00586BCD" w:rsidRPr="00187B88">
        <w:rPr>
          <w:rFonts w:ascii="Times New Roman" w:hAnsi="Times New Roman" w:cs="Times New Roman"/>
        </w:rPr>
        <w:t xml:space="preserve">—such as knowledge about human history, culture, and meaning-making. </w:t>
      </w:r>
      <w:r w:rsidRPr="00187B88">
        <w:rPr>
          <w:rFonts w:ascii="Times New Roman" w:hAnsi="Times New Roman" w:cs="Times New Roman"/>
        </w:rPr>
        <w:t xml:space="preserve"> </w:t>
      </w:r>
      <w:r w:rsidR="00586BCD" w:rsidRPr="00187B88">
        <w:rPr>
          <w:rFonts w:ascii="Times New Roman" w:hAnsi="Times New Roman" w:cs="Times New Roman"/>
        </w:rPr>
        <w:t>S</w:t>
      </w:r>
      <w:r w:rsidRPr="00187B88">
        <w:rPr>
          <w:rFonts w:ascii="Times New Roman" w:hAnsi="Times New Roman" w:cs="Times New Roman"/>
        </w:rPr>
        <w:t xml:space="preserve">ignificantly reducing personnel who teach in </w:t>
      </w:r>
      <w:r w:rsidR="00586BCD" w:rsidRPr="00187B88">
        <w:rPr>
          <w:rFonts w:ascii="Times New Roman" w:hAnsi="Times New Roman" w:cs="Times New Roman"/>
        </w:rPr>
        <w:t xml:space="preserve">these </w:t>
      </w:r>
      <w:r w:rsidRPr="00187B88">
        <w:rPr>
          <w:rFonts w:ascii="Times New Roman" w:hAnsi="Times New Roman" w:cs="Times New Roman"/>
        </w:rPr>
        <w:t xml:space="preserve">areas fails to serve the common good across the state, and diminishes the affected scholarly fields. Keeping a commitment to faculty in some low-enrolling fields preserves the flexibility to respond to new developments that require scholarly expertise in those fields. </w:t>
      </w:r>
    </w:p>
    <w:p w14:paraId="170DA20B" w14:textId="4DEEE1F1" w:rsidR="00237791" w:rsidRPr="00187B88" w:rsidRDefault="00237791" w:rsidP="00985601">
      <w:pPr>
        <w:ind w:left="1080"/>
        <w:rPr>
          <w:rFonts w:ascii="Times New Roman" w:hAnsi="Times New Roman" w:cs="Times New Roman"/>
        </w:rPr>
      </w:pPr>
      <w:r w:rsidRPr="00187B88">
        <w:rPr>
          <w:rFonts w:ascii="Times New Roman" w:hAnsi="Times New Roman" w:cs="Times New Roman"/>
        </w:rPr>
        <w:t xml:space="preserve">This holds true for some applied fields as well; a doctoral program may need to support only a few experts in a particular area of human or veterinary medicine, but the loss would be </w:t>
      </w:r>
      <w:r w:rsidR="00002299" w:rsidRPr="00187B88">
        <w:rPr>
          <w:rFonts w:ascii="Times New Roman" w:hAnsi="Times New Roman" w:cs="Times New Roman"/>
        </w:rPr>
        <w:t>g</w:t>
      </w:r>
      <w:r w:rsidRPr="00187B88">
        <w:rPr>
          <w:rFonts w:ascii="Times New Roman" w:hAnsi="Times New Roman" w:cs="Times New Roman"/>
        </w:rPr>
        <w:t>reat to the field, the state, and the nation if a doctoral program needed to meet a “low-enrolling” metrics number for that area of expertise.</w:t>
      </w:r>
    </w:p>
    <w:p w14:paraId="7E68283D" w14:textId="77777777" w:rsidR="009B1FE3" w:rsidRPr="00187B88" w:rsidRDefault="009B1FE3" w:rsidP="009B1FE3">
      <w:pPr>
        <w:pStyle w:val="ListParagraph"/>
        <w:rPr>
          <w:rFonts w:ascii="Times New Roman" w:hAnsi="Times New Roman" w:cs="Times New Roman"/>
          <w:b/>
        </w:rPr>
      </w:pPr>
    </w:p>
    <w:p w14:paraId="51EC44BD" w14:textId="2C62150F" w:rsidR="00985601" w:rsidRPr="00187B88" w:rsidRDefault="00271CB8" w:rsidP="007F4D7A">
      <w:pPr>
        <w:pStyle w:val="ListParagraph"/>
        <w:numPr>
          <w:ilvl w:val="0"/>
          <w:numId w:val="18"/>
        </w:numPr>
        <w:rPr>
          <w:rFonts w:ascii="Times New Roman" w:hAnsi="Times New Roman" w:cs="Times New Roman"/>
        </w:rPr>
      </w:pPr>
      <w:r w:rsidRPr="00187B88">
        <w:rPr>
          <w:rFonts w:ascii="Times New Roman" w:hAnsi="Times New Roman" w:cs="Times New Roman"/>
          <w:b/>
        </w:rPr>
        <w:t>While an</w:t>
      </w:r>
      <w:r w:rsidR="00985601" w:rsidRPr="00187B88">
        <w:rPr>
          <w:rFonts w:ascii="Times New Roman" w:hAnsi="Times New Roman" w:cs="Times New Roman"/>
          <w:b/>
        </w:rPr>
        <w:t xml:space="preserve"> undergraduate student’s </w:t>
      </w:r>
      <w:r w:rsidRPr="00187B88">
        <w:rPr>
          <w:rFonts w:ascii="Times New Roman" w:hAnsi="Times New Roman" w:cs="Times New Roman"/>
          <w:b/>
        </w:rPr>
        <w:t xml:space="preserve">four-year major degree program </w:t>
      </w:r>
      <w:r w:rsidR="00985601" w:rsidRPr="00187B88">
        <w:rPr>
          <w:rFonts w:ascii="Times New Roman" w:hAnsi="Times New Roman" w:cs="Times New Roman"/>
          <w:b/>
        </w:rPr>
        <w:t xml:space="preserve">reflects a short-term investment, a student’s broader General Education courses reflect a longer-term investment </w:t>
      </w:r>
      <w:r w:rsidR="00985601" w:rsidRPr="00187B88">
        <w:rPr>
          <w:rFonts w:ascii="Times New Roman" w:hAnsi="Times New Roman" w:cs="Times New Roman"/>
          <w:b/>
        </w:rPr>
        <w:lastRenderedPageBreak/>
        <w:t>for both students a</w:t>
      </w:r>
      <w:r w:rsidR="005F0EB6" w:rsidRPr="00187B88">
        <w:rPr>
          <w:rFonts w:ascii="Times New Roman" w:hAnsi="Times New Roman" w:cs="Times New Roman"/>
          <w:b/>
        </w:rPr>
        <w:t>nd the common good of the state—and supporting those courses requires a commitment to the fields of liberal arts and sciences.</w:t>
      </w:r>
    </w:p>
    <w:p w14:paraId="52AB256A" w14:textId="77777777" w:rsidR="00271CB8" w:rsidRPr="00187B88" w:rsidRDefault="00271CB8" w:rsidP="00271CB8">
      <w:pPr>
        <w:pStyle w:val="ListParagraph"/>
        <w:ind w:left="1080"/>
        <w:rPr>
          <w:rFonts w:ascii="Times New Roman" w:hAnsi="Times New Roman" w:cs="Times New Roman"/>
          <w:b/>
        </w:rPr>
      </w:pPr>
    </w:p>
    <w:p w14:paraId="605EBCB5" w14:textId="78F16E13" w:rsidR="00002299" w:rsidRPr="00187B88" w:rsidRDefault="005F0EB6" w:rsidP="00271CB8">
      <w:pPr>
        <w:pStyle w:val="ListParagraph"/>
        <w:ind w:left="1080"/>
        <w:rPr>
          <w:rFonts w:ascii="Times New Roman" w:hAnsi="Times New Roman" w:cs="Times New Roman"/>
        </w:rPr>
      </w:pPr>
      <w:r w:rsidRPr="00187B88">
        <w:rPr>
          <w:rFonts w:ascii="Times New Roman" w:hAnsi="Times New Roman" w:cs="Times New Roman"/>
        </w:rPr>
        <w:t xml:space="preserve">A university is not a collection of high-enrolling major degree programs. </w:t>
      </w:r>
      <w:r w:rsidR="00271CB8" w:rsidRPr="00187B88">
        <w:rPr>
          <w:rFonts w:ascii="Times New Roman" w:hAnsi="Times New Roman" w:cs="Times New Roman"/>
        </w:rPr>
        <w:t xml:space="preserve">Graduation requirements in General Education (or the liberal arts and sciences) are central </w:t>
      </w:r>
      <w:r w:rsidR="00D400EF">
        <w:rPr>
          <w:rFonts w:ascii="Times New Roman" w:hAnsi="Times New Roman" w:cs="Times New Roman"/>
        </w:rPr>
        <w:t>to what it means to earn a four-</w:t>
      </w:r>
      <w:r w:rsidR="00271CB8" w:rsidRPr="00187B88">
        <w:rPr>
          <w:rFonts w:ascii="Times New Roman" w:hAnsi="Times New Roman" w:cs="Times New Roman"/>
        </w:rPr>
        <w:t xml:space="preserve">year college degree not only because they foster broadly educated citizens who can continue life-long learning, but also because they cultivate skill sets, practices of independent and critical thinking, and habits of understanding the world from multiple points of view that can enable later career changes. While </w:t>
      </w:r>
      <w:r w:rsidR="00237791" w:rsidRPr="00187B88">
        <w:rPr>
          <w:rFonts w:ascii="Times New Roman" w:hAnsi="Times New Roman" w:cs="Times New Roman"/>
        </w:rPr>
        <w:t>a stated commitment</w:t>
      </w:r>
      <w:r w:rsidR="00892F58">
        <w:rPr>
          <w:rFonts w:ascii="Times New Roman" w:hAnsi="Times New Roman" w:cs="Times New Roman"/>
        </w:rPr>
        <w:t xml:space="preserve"> to</w:t>
      </w:r>
      <w:r w:rsidR="00237791" w:rsidRPr="00187B88">
        <w:rPr>
          <w:rFonts w:ascii="Times New Roman" w:hAnsi="Times New Roman" w:cs="Times New Roman"/>
        </w:rPr>
        <w:t xml:space="preserve"> General Education may not be directly threatened by program prioritization, eliminating majors in the liberal arts and sciences reduces numbers of faculty who invest in both courses and careers in these fields. And there is no reason </w:t>
      </w:r>
      <w:r w:rsidR="00237791" w:rsidRPr="0031701D">
        <w:rPr>
          <w:rFonts w:ascii="Times New Roman" w:hAnsi="Times New Roman" w:cs="Times New Roman"/>
          <w:i/>
        </w:rPr>
        <w:t>not</w:t>
      </w:r>
      <w:r w:rsidR="00237791" w:rsidRPr="00187B88">
        <w:rPr>
          <w:rFonts w:ascii="Times New Roman" w:hAnsi="Times New Roman" w:cs="Times New Roman"/>
        </w:rPr>
        <w:t xml:space="preserve"> to offer majors in these fields if there are sufficient faculty to cover both a small number of majors </w:t>
      </w:r>
      <w:r w:rsidR="00237791" w:rsidRPr="00187B88">
        <w:rPr>
          <w:rFonts w:ascii="Times New Roman" w:hAnsi="Times New Roman" w:cs="Times New Roman"/>
          <w:i/>
        </w:rPr>
        <w:t xml:space="preserve">and </w:t>
      </w:r>
      <w:r w:rsidR="00237791" w:rsidRPr="00187B88">
        <w:rPr>
          <w:rFonts w:ascii="Times New Roman" w:hAnsi="Times New Roman" w:cs="Times New Roman"/>
        </w:rPr>
        <w:t>Gen</w:t>
      </w:r>
      <w:r w:rsidR="00900B72" w:rsidRPr="00187B88">
        <w:rPr>
          <w:rFonts w:ascii="Times New Roman" w:hAnsi="Times New Roman" w:cs="Times New Roman"/>
        </w:rPr>
        <w:t>eral Education course offerings—especially when even many tech companies (like those in Silicon Valley) are actively seeking liberal arts graduates with creative and people-oriented “soft skills.”</w:t>
      </w:r>
      <w:r w:rsidR="00900B72" w:rsidRPr="00187B88">
        <w:rPr>
          <w:rStyle w:val="FootnoteReference"/>
          <w:rFonts w:ascii="Times New Roman" w:hAnsi="Times New Roman" w:cs="Times New Roman"/>
        </w:rPr>
        <w:footnoteReference w:id="6"/>
      </w:r>
    </w:p>
    <w:p w14:paraId="2D7A43A5" w14:textId="719C7235" w:rsidR="00002299" w:rsidRPr="00187B88" w:rsidRDefault="00002299" w:rsidP="00900B72">
      <w:pPr>
        <w:ind w:left="1080"/>
        <w:rPr>
          <w:rFonts w:ascii="Times New Roman" w:hAnsi="Times New Roman" w:cs="Times New Roman"/>
        </w:rPr>
      </w:pPr>
      <w:r w:rsidRPr="00187B88">
        <w:rPr>
          <w:rFonts w:ascii="Times New Roman" w:hAnsi="Times New Roman" w:cs="Times New Roman"/>
        </w:rPr>
        <w:t>As one sign that reducing program offerings is not perceived as efficiency but as failure of opportunity, look at anecdotal reports that Illinois’ high school guidance counselors have been using the Low-Producing Program Report and related program eliminations as a sign that a university is weakening.</w:t>
      </w:r>
      <w:r w:rsidRPr="00187B88">
        <w:rPr>
          <w:rStyle w:val="FootnoteReference"/>
          <w:rFonts w:ascii="Times New Roman" w:hAnsi="Times New Roman" w:cs="Times New Roman"/>
        </w:rPr>
        <w:footnoteReference w:id="7"/>
      </w:r>
      <w:r w:rsidRPr="00187B88">
        <w:rPr>
          <w:rFonts w:ascii="Times New Roman" w:hAnsi="Times New Roman" w:cs="Times New Roman"/>
        </w:rPr>
        <w:t xml:space="preserve"> A more comprehensive set of major degree offerings is appealing to students and guidance counselors alike.</w:t>
      </w:r>
    </w:p>
    <w:p w14:paraId="3AE9E63D" w14:textId="77777777" w:rsidR="00237791" w:rsidRPr="00187B88" w:rsidRDefault="00237791" w:rsidP="00271CB8">
      <w:pPr>
        <w:pStyle w:val="ListParagraph"/>
        <w:ind w:left="1080"/>
        <w:rPr>
          <w:rFonts w:ascii="Times New Roman" w:hAnsi="Times New Roman" w:cs="Times New Roman"/>
        </w:rPr>
      </w:pPr>
    </w:p>
    <w:p w14:paraId="014D9B50" w14:textId="0112EC78" w:rsidR="00737F03" w:rsidRPr="00187B88" w:rsidRDefault="00256EBC" w:rsidP="007F4D7A">
      <w:pPr>
        <w:pStyle w:val="ListParagraph"/>
        <w:numPr>
          <w:ilvl w:val="0"/>
          <w:numId w:val="10"/>
        </w:numPr>
        <w:rPr>
          <w:rFonts w:ascii="Times New Roman" w:hAnsi="Times New Roman" w:cs="Times New Roman"/>
          <w:b/>
        </w:rPr>
      </w:pPr>
      <w:r w:rsidRPr="00187B88">
        <w:rPr>
          <w:rFonts w:ascii="Times New Roman" w:hAnsi="Times New Roman" w:cs="Times New Roman"/>
          <w:b/>
        </w:rPr>
        <w:t>O</w:t>
      </w:r>
      <w:r w:rsidR="009D24F0" w:rsidRPr="00187B88">
        <w:rPr>
          <w:rFonts w:ascii="Times New Roman" w:hAnsi="Times New Roman" w:cs="Times New Roman"/>
          <w:b/>
        </w:rPr>
        <w:t xml:space="preserve">n </w:t>
      </w:r>
      <w:r w:rsidR="00737F03" w:rsidRPr="00187B88">
        <w:rPr>
          <w:rFonts w:ascii="Times New Roman" w:hAnsi="Times New Roman" w:cs="Times New Roman"/>
          <w:b/>
        </w:rPr>
        <w:t>Outsourcing</w:t>
      </w:r>
      <w:r w:rsidR="00CF7955" w:rsidRPr="00187B88">
        <w:rPr>
          <w:rFonts w:ascii="Times New Roman" w:hAnsi="Times New Roman" w:cs="Times New Roman"/>
          <w:b/>
        </w:rPr>
        <w:t xml:space="preserve"> </w:t>
      </w:r>
      <w:r w:rsidR="00EA3A9B" w:rsidRPr="00187B88">
        <w:rPr>
          <w:rFonts w:ascii="Times New Roman" w:hAnsi="Times New Roman" w:cs="Times New Roman"/>
          <w:b/>
        </w:rPr>
        <w:t xml:space="preserve">and/or Standardizing </w:t>
      </w:r>
      <w:r w:rsidR="00CF7955" w:rsidRPr="00187B88">
        <w:rPr>
          <w:rFonts w:ascii="Times New Roman" w:hAnsi="Times New Roman" w:cs="Times New Roman"/>
          <w:b/>
        </w:rPr>
        <w:t>General Education and Other Courses</w:t>
      </w:r>
      <w:r w:rsidR="007F4D7A" w:rsidRPr="00187B88">
        <w:rPr>
          <w:rFonts w:ascii="Times New Roman" w:hAnsi="Times New Roman" w:cs="Times New Roman"/>
          <w:b/>
        </w:rPr>
        <w:br/>
      </w:r>
    </w:p>
    <w:p w14:paraId="526F2466" w14:textId="77777777" w:rsidR="00A31CC4" w:rsidRPr="00187B88" w:rsidRDefault="00CF7955" w:rsidP="007F4D7A">
      <w:pPr>
        <w:pStyle w:val="ListParagraph"/>
        <w:numPr>
          <w:ilvl w:val="0"/>
          <w:numId w:val="11"/>
        </w:numPr>
        <w:rPr>
          <w:rFonts w:ascii="Times New Roman" w:hAnsi="Times New Roman" w:cs="Times New Roman"/>
          <w:b/>
        </w:rPr>
      </w:pPr>
      <w:r w:rsidRPr="00187B88">
        <w:rPr>
          <w:rFonts w:ascii="Times New Roman" w:hAnsi="Times New Roman" w:cs="Times New Roman"/>
          <w:b/>
        </w:rPr>
        <w:t xml:space="preserve">Outsourcing </w:t>
      </w:r>
      <w:r w:rsidR="00EA3A9B" w:rsidRPr="00187B88">
        <w:rPr>
          <w:rFonts w:ascii="Times New Roman" w:hAnsi="Times New Roman" w:cs="Times New Roman"/>
          <w:b/>
        </w:rPr>
        <w:t xml:space="preserve">and/or standardizing </w:t>
      </w:r>
      <w:r w:rsidRPr="00187B88">
        <w:rPr>
          <w:rFonts w:ascii="Times New Roman" w:hAnsi="Times New Roman" w:cs="Times New Roman"/>
          <w:b/>
        </w:rPr>
        <w:t>General Education courses is a byproduct o</w:t>
      </w:r>
      <w:r w:rsidR="00985601" w:rsidRPr="00187B88">
        <w:rPr>
          <w:rFonts w:ascii="Times New Roman" w:hAnsi="Times New Roman" w:cs="Times New Roman"/>
          <w:b/>
        </w:rPr>
        <w:t>f program realignment and facul</w:t>
      </w:r>
      <w:r w:rsidRPr="00187B88">
        <w:rPr>
          <w:rFonts w:ascii="Times New Roman" w:hAnsi="Times New Roman" w:cs="Times New Roman"/>
          <w:b/>
        </w:rPr>
        <w:t>t</w:t>
      </w:r>
      <w:r w:rsidR="00985601" w:rsidRPr="00187B88">
        <w:rPr>
          <w:rFonts w:ascii="Times New Roman" w:hAnsi="Times New Roman" w:cs="Times New Roman"/>
          <w:b/>
        </w:rPr>
        <w:t>y</w:t>
      </w:r>
      <w:r w:rsidRPr="00187B88">
        <w:rPr>
          <w:rFonts w:ascii="Times New Roman" w:hAnsi="Times New Roman" w:cs="Times New Roman"/>
          <w:b/>
        </w:rPr>
        <w:t xml:space="preserve"> lay-offs in eliminated programs.</w:t>
      </w:r>
      <w:r w:rsidRPr="00187B88">
        <w:rPr>
          <w:rFonts w:ascii="Times New Roman" w:hAnsi="Times New Roman" w:cs="Times New Roman"/>
        </w:rPr>
        <w:t xml:space="preserve"> </w:t>
      </w:r>
      <w:r w:rsidR="00F45526" w:rsidRPr="00187B88">
        <w:rPr>
          <w:rFonts w:ascii="Times New Roman" w:hAnsi="Times New Roman" w:cs="Times New Roman"/>
        </w:rPr>
        <w:t xml:space="preserve">“Outsourcing” General Education options to online offerings, and/or to courses taught by adjuncts, means reducing or eliminating opportunities for majors in the disciplines that feed General Education offerings. It also relies on a contingent, underpaid, exploited labor force that lacks benefits and job security, prompting many adjuncts to abandon a career in the disciplines for which they trained. </w:t>
      </w:r>
    </w:p>
    <w:p w14:paraId="4519B78D" w14:textId="77777777" w:rsidR="00A31CC4" w:rsidRPr="00187B88" w:rsidRDefault="00A31CC4" w:rsidP="00A31CC4">
      <w:pPr>
        <w:pStyle w:val="ListParagraph"/>
        <w:rPr>
          <w:rFonts w:ascii="Times New Roman" w:hAnsi="Times New Roman" w:cs="Times New Roman"/>
          <w:b/>
        </w:rPr>
      </w:pPr>
    </w:p>
    <w:p w14:paraId="06A37FCE" w14:textId="4576B47C" w:rsidR="00A31CC4" w:rsidRPr="00187B88" w:rsidRDefault="00A31CC4" w:rsidP="00A31CC4">
      <w:pPr>
        <w:pStyle w:val="ListParagraph"/>
        <w:rPr>
          <w:rFonts w:ascii="Times New Roman" w:hAnsi="Times New Roman" w:cs="Times New Roman"/>
        </w:rPr>
      </w:pPr>
      <w:r w:rsidRPr="00187B88">
        <w:rPr>
          <w:rFonts w:ascii="Times New Roman" w:hAnsi="Times New Roman" w:cs="Times New Roman"/>
        </w:rPr>
        <w:t>Likewise, program realignments and consolidations may also seek to simplify and narrow course offerings in G</w:t>
      </w:r>
      <w:r w:rsidR="0026370D">
        <w:rPr>
          <w:rFonts w:ascii="Times New Roman" w:hAnsi="Times New Roman" w:cs="Times New Roman"/>
        </w:rPr>
        <w:t xml:space="preserve">eneral Education, or to </w:t>
      </w:r>
      <w:r w:rsidRPr="00187B88">
        <w:rPr>
          <w:rFonts w:ascii="Times New Roman" w:hAnsi="Times New Roman" w:cs="Times New Roman"/>
        </w:rPr>
        <w:t>standardize the</w:t>
      </w:r>
      <w:r w:rsidR="00EA3A9B" w:rsidRPr="00187B88">
        <w:rPr>
          <w:rFonts w:ascii="Times New Roman" w:hAnsi="Times New Roman" w:cs="Times New Roman"/>
        </w:rPr>
        <w:t xml:space="preserve"> curriculum</w:t>
      </w:r>
      <w:r w:rsidRPr="00187B88">
        <w:rPr>
          <w:rFonts w:ascii="Times New Roman" w:hAnsi="Times New Roman" w:cs="Times New Roman"/>
        </w:rPr>
        <w:t xml:space="preserve"> for core subject areas. This</w:t>
      </w:r>
      <w:r w:rsidR="00EA3A9B" w:rsidRPr="00187B88">
        <w:rPr>
          <w:rFonts w:ascii="Times New Roman" w:hAnsi="Times New Roman" w:cs="Times New Roman"/>
        </w:rPr>
        <w:t xml:space="preserve"> bypass</w:t>
      </w:r>
      <w:r w:rsidRPr="00187B88">
        <w:rPr>
          <w:rFonts w:ascii="Times New Roman" w:hAnsi="Times New Roman" w:cs="Times New Roman"/>
        </w:rPr>
        <w:t xml:space="preserve">es the expertise, initiative, and judgment </w:t>
      </w:r>
      <w:r w:rsidR="00EA3A9B" w:rsidRPr="00187B88">
        <w:rPr>
          <w:rFonts w:ascii="Times New Roman" w:hAnsi="Times New Roman" w:cs="Times New Roman"/>
        </w:rPr>
        <w:t xml:space="preserve">of faculty </w:t>
      </w:r>
      <w:r w:rsidRPr="00187B88">
        <w:rPr>
          <w:rFonts w:ascii="Times New Roman" w:hAnsi="Times New Roman" w:cs="Times New Roman"/>
        </w:rPr>
        <w:t xml:space="preserve">members. It also </w:t>
      </w:r>
      <w:r w:rsidR="00EA3A9B" w:rsidRPr="00187B88">
        <w:rPr>
          <w:rFonts w:ascii="Times New Roman" w:hAnsi="Times New Roman" w:cs="Times New Roman"/>
        </w:rPr>
        <w:t>mistakenly assumes that ed</w:t>
      </w:r>
      <w:r w:rsidRPr="00187B88">
        <w:rPr>
          <w:rFonts w:ascii="Times New Roman" w:hAnsi="Times New Roman" w:cs="Times New Roman"/>
        </w:rPr>
        <w:t>ucators are like assembly-line workers who are doing their small part in putting together a product designed by “subject matter experts” from somewhere else.</w:t>
      </w:r>
    </w:p>
    <w:p w14:paraId="2007D53A" w14:textId="77777777" w:rsidR="00A31CC4" w:rsidRPr="00187B88" w:rsidRDefault="00A31CC4" w:rsidP="00A31CC4">
      <w:pPr>
        <w:pStyle w:val="ListParagraph"/>
        <w:rPr>
          <w:rFonts w:ascii="Times New Roman" w:hAnsi="Times New Roman" w:cs="Times New Roman"/>
        </w:rPr>
      </w:pPr>
    </w:p>
    <w:p w14:paraId="7281DA5D" w14:textId="126F4D07" w:rsidR="00F45526" w:rsidRPr="00187B88" w:rsidRDefault="00F45526" w:rsidP="00A31CC4">
      <w:pPr>
        <w:pStyle w:val="ListParagraph"/>
        <w:rPr>
          <w:rFonts w:ascii="Times New Roman" w:hAnsi="Times New Roman" w:cs="Times New Roman"/>
          <w:b/>
        </w:rPr>
      </w:pPr>
      <w:r w:rsidRPr="00187B88">
        <w:rPr>
          <w:rFonts w:ascii="Times New Roman" w:hAnsi="Times New Roman" w:cs="Times New Roman"/>
        </w:rPr>
        <w:t>Ending a commitment to particular majors and minors also creates conditions for hi</w:t>
      </w:r>
      <w:r w:rsidR="00743F34">
        <w:rPr>
          <w:rFonts w:ascii="Times New Roman" w:hAnsi="Times New Roman" w:cs="Times New Roman"/>
        </w:rPr>
        <w:t>ring adjuncts with only Master’s</w:t>
      </w:r>
      <w:r w:rsidRPr="00187B88">
        <w:rPr>
          <w:rFonts w:ascii="Times New Roman" w:hAnsi="Times New Roman" w:cs="Times New Roman"/>
        </w:rPr>
        <w:t xml:space="preserve"> degree preparation (or less) in fields for which the terminal degree is a PhD—reducing the scholarly depth of the professoriate, and exposing students that much less to </w:t>
      </w:r>
      <w:r w:rsidRPr="00187B88">
        <w:rPr>
          <w:rFonts w:ascii="Times New Roman" w:hAnsi="Times New Roman" w:cs="Times New Roman"/>
        </w:rPr>
        <w:lastRenderedPageBreak/>
        <w:t>scholarly expertise in the classroom. This in turn can risk accreditation at some four-year institutions in particular.</w:t>
      </w:r>
      <w:r w:rsidR="00CF7955" w:rsidRPr="00187B88">
        <w:rPr>
          <w:rFonts w:ascii="Times New Roman" w:hAnsi="Times New Roman" w:cs="Times New Roman"/>
        </w:rPr>
        <w:br/>
      </w:r>
    </w:p>
    <w:p w14:paraId="4E451DC2" w14:textId="193739A3" w:rsidR="00F45526" w:rsidRPr="00187B88" w:rsidRDefault="00737F03" w:rsidP="00980F4F">
      <w:pPr>
        <w:pStyle w:val="CommentText"/>
        <w:numPr>
          <w:ilvl w:val="0"/>
          <w:numId w:val="11"/>
        </w:numPr>
        <w:spacing w:line="276" w:lineRule="auto"/>
        <w:rPr>
          <w:rFonts w:ascii="Times New Roman" w:hAnsi="Times New Roman" w:cs="Times New Roman"/>
          <w:sz w:val="22"/>
        </w:rPr>
      </w:pPr>
      <w:r w:rsidRPr="00187B88">
        <w:rPr>
          <w:rFonts w:ascii="Times New Roman" w:hAnsi="Times New Roman" w:cs="Times New Roman"/>
          <w:b/>
          <w:sz w:val="22"/>
        </w:rPr>
        <w:t>Dual Credit initiatives can reduce course enrollments in General Education courses, which puts pressure on university and college administrators to cut faculty members who teach courses in the liberal arts.</w:t>
      </w:r>
      <w:r w:rsidR="00F45526" w:rsidRPr="00187B88">
        <w:rPr>
          <w:rFonts w:ascii="Times New Roman" w:hAnsi="Times New Roman" w:cs="Times New Roman"/>
          <w:b/>
          <w:sz w:val="22"/>
        </w:rPr>
        <w:t xml:space="preserve">  </w:t>
      </w:r>
      <w:r w:rsidR="00F45526" w:rsidRPr="00187B88">
        <w:rPr>
          <w:rFonts w:ascii="Times New Roman" w:hAnsi="Times New Roman" w:cs="Times New Roman"/>
          <w:sz w:val="22"/>
        </w:rPr>
        <w:t>When Dual Credit courses are being offered through Master</w:t>
      </w:r>
      <w:r w:rsidR="003F55F5">
        <w:rPr>
          <w:rFonts w:ascii="Times New Roman" w:hAnsi="Times New Roman" w:cs="Times New Roman"/>
          <w:sz w:val="22"/>
        </w:rPr>
        <w:t>’</w:t>
      </w:r>
      <w:r w:rsidR="00F45526" w:rsidRPr="00187B88">
        <w:rPr>
          <w:rFonts w:ascii="Times New Roman" w:hAnsi="Times New Roman" w:cs="Times New Roman"/>
          <w:sz w:val="22"/>
        </w:rPr>
        <w:t xml:space="preserve">s-prepared faculty who teach high school students, students have less opportunity to study with faculty members who have earned doctorates in their fields. </w:t>
      </w:r>
      <w:r w:rsidR="00980F4F" w:rsidRPr="00187B88">
        <w:rPr>
          <w:rFonts w:ascii="Times New Roman" w:hAnsi="Times New Roman" w:cs="Times New Roman"/>
          <w:sz w:val="22"/>
        </w:rPr>
        <w:t xml:space="preserve">One of the main reasons to have faculty with doctorate degrees is that they are engaged in research </w:t>
      </w:r>
      <w:proofErr w:type="gramStart"/>
      <w:r w:rsidR="00980F4F" w:rsidRPr="00187B88">
        <w:rPr>
          <w:rFonts w:ascii="Times New Roman" w:hAnsi="Times New Roman" w:cs="Times New Roman"/>
          <w:sz w:val="22"/>
        </w:rPr>
        <w:t>and  impart</w:t>
      </w:r>
      <w:proofErr w:type="gramEnd"/>
      <w:r w:rsidR="00980F4F" w:rsidRPr="00187B88">
        <w:rPr>
          <w:rFonts w:ascii="Times New Roman" w:hAnsi="Times New Roman" w:cs="Times New Roman"/>
          <w:sz w:val="22"/>
        </w:rPr>
        <w:t xml:space="preserve"> the knowledge a</w:t>
      </w:r>
      <w:r w:rsidR="003F55F5">
        <w:rPr>
          <w:rFonts w:ascii="Times New Roman" w:hAnsi="Times New Roman" w:cs="Times New Roman"/>
          <w:sz w:val="22"/>
        </w:rPr>
        <w:t xml:space="preserve">nd wisdom gained through their </w:t>
      </w:r>
      <w:r w:rsidR="00980F4F" w:rsidRPr="00187B88">
        <w:rPr>
          <w:rFonts w:ascii="Times New Roman" w:hAnsi="Times New Roman" w:cs="Times New Roman"/>
          <w:sz w:val="22"/>
        </w:rPr>
        <w:t xml:space="preserve">continued research to the students, which in turn improves critical thinking. </w:t>
      </w:r>
      <w:r w:rsidR="00F45526" w:rsidRPr="00187B88">
        <w:rPr>
          <w:rFonts w:ascii="Times New Roman" w:hAnsi="Times New Roman" w:cs="Times New Roman"/>
          <w:sz w:val="22"/>
        </w:rPr>
        <w:t>Thus, the aim of enabling students to earn a college degree in a shorter time can have the effect of diminishing the overall quality of education for students, as well as affect the common good by reducing institutional spaces for entire disciplinary fields of expertise.  Statistics on graduation rates, and numbers of years to graduation, are valuable only if there are common standards—including administrative and state support for high expectations of students at all levels of education.</w:t>
      </w:r>
    </w:p>
    <w:p w14:paraId="66BFC421" w14:textId="77777777" w:rsidR="00271CB8" w:rsidRPr="00187B88" w:rsidRDefault="00271CB8" w:rsidP="00271CB8">
      <w:pPr>
        <w:pStyle w:val="ListParagraph"/>
        <w:rPr>
          <w:rFonts w:ascii="Times New Roman" w:hAnsi="Times New Roman" w:cs="Times New Roman"/>
          <w:b/>
        </w:rPr>
      </w:pPr>
    </w:p>
    <w:p w14:paraId="539675C3" w14:textId="1CA02080" w:rsidR="00F85A6F" w:rsidRPr="00187B88" w:rsidRDefault="00271CB8" w:rsidP="007F4D7A">
      <w:pPr>
        <w:pStyle w:val="ListParagraph"/>
        <w:numPr>
          <w:ilvl w:val="0"/>
          <w:numId w:val="10"/>
        </w:numPr>
        <w:rPr>
          <w:rFonts w:ascii="Times New Roman" w:hAnsi="Times New Roman" w:cs="Times New Roman"/>
          <w:b/>
        </w:rPr>
      </w:pPr>
      <w:r w:rsidRPr="00187B88">
        <w:rPr>
          <w:rFonts w:ascii="Times New Roman" w:hAnsi="Times New Roman" w:cs="Times New Roman"/>
          <w:b/>
        </w:rPr>
        <w:t xml:space="preserve">On the Importance of </w:t>
      </w:r>
      <w:r w:rsidR="007F4D7A" w:rsidRPr="00187B88">
        <w:rPr>
          <w:rFonts w:ascii="Times New Roman" w:hAnsi="Times New Roman" w:cs="Times New Roman"/>
          <w:b/>
        </w:rPr>
        <w:t>Shared Governance</w:t>
      </w:r>
      <w:r w:rsidR="00F85A6F" w:rsidRPr="00187B88">
        <w:rPr>
          <w:rFonts w:ascii="Times New Roman" w:hAnsi="Times New Roman" w:cs="Times New Roman"/>
          <w:b/>
        </w:rPr>
        <w:t xml:space="preserve"> </w:t>
      </w:r>
      <w:r w:rsidR="007F4D7A" w:rsidRPr="00187B88">
        <w:rPr>
          <w:rFonts w:ascii="Times New Roman" w:hAnsi="Times New Roman" w:cs="Times New Roman"/>
          <w:b/>
        </w:rPr>
        <w:br/>
      </w:r>
    </w:p>
    <w:p w14:paraId="0E76F0F4" w14:textId="2E4C8567" w:rsidR="00A31CC4" w:rsidRPr="00187B88" w:rsidRDefault="001539A5" w:rsidP="007F4D7A">
      <w:pPr>
        <w:pStyle w:val="ListParagraph"/>
        <w:numPr>
          <w:ilvl w:val="0"/>
          <w:numId w:val="12"/>
        </w:numPr>
        <w:rPr>
          <w:rFonts w:ascii="Times New Roman" w:hAnsi="Times New Roman" w:cs="Times New Roman"/>
          <w:b/>
        </w:rPr>
      </w:pPr>
      <w:r w:rsidRPr="00187B88">
        <w:rPr>
          <w:rFonts w:ascii="Times New Roman" w:hAnsi="Times New Roman" w:cs="Times New Roman"/>
          <w:b/>
        </w:rPr>
        <w:t>Faculty members should be involved in any reorganization process</w:t>
      </w:r>
      <w:r w:rsidR="00D84739" w:rsidRPr="00187B88">
        <w:rPr>
          <w:rFonts w:ascii="Times New Roman" w:hAnsi="Times New Roman" w:cs="Times New Roman"/>
          <w:b/>
        </w:rPr>
        <w:t xml:space="preserve"> </w:t>
      </w:r>
      <w:r w:rsidRPr="00187B88">
        <w:rPr>
          <w:rFonts w:ascii="Times New Roman" w:hAnsi="Times New Roman" w:cs="Times New Roman"/>
        </w:rPr>
        <w:t>and not merely to carry out administrative commands to find ways of merging disparate fields</w:t>
      </w:r>
      <w:r w:rsidR="001F66F8" w:rsidRPr="00187B88">
        <w:rPr>
          <w:rStyle w:val="FootnoteReference"/>
          <w:rFonts w:ascii="Times New Roman" w:hAnsi="Times New Roman" w:cs="Times New Roman"/>
        </w:rPr>
        <w:footnoteReference w:id="8"/>
      </w:r>
      <w:r w:rsidRPr="00187B88">
        <w:rPr>
          <w:rFonts w:ascii="Times New Roman" w:hAnsi="Times New Roman" w:cs="Times New Roman"/>
        </w:rPr>
        <w:t xml:space="preserve">. Even if administrators have the final authority to make decisions, faculty senates and other shared leadership structures should have genuine (not merely reactive or coerced) input into any redesign of departments, programs, or colleges.  </w:t>
      </w:r>
      <w:r w:rsidR="00A723AE" w:rsidRPr="00187B88">
        <w:rPr>
          <w:rFonts w:ascii="Times New Roman" w:hAnsi="Times New Roman" w:cs="Times New Roman"/>
        </w:rPr>
        <w:t xml:space="preserve">As a general rule, faculty are eager to find academically responsible and financially sustainable ways forward; more than a job, our universities and academic departments are the communities to which we have dedicated decades of our lives.  More importantly, faculty </w:t>
      </w:r>
      <w:r w:rsidRPr="00187B88">
        <w:rPr>
          <w:rFonts w:ascii="Times New Roman" w:hAnsi="Times New Roman" w:cs="Times New Roman"/>
        </w:rPr>
        <w:t xml:space="preserve">offer </w:t>
      </w:r>
      <w:r w:rsidR="00A723AE" w:rsidRPr="00187B88">
        <w:rPr>
          <w:rFonts w:ascii="Times New Roman" w:hAnsi="Times New Roman" w:cs="Times New Roman"/>
        </w:rPr>
        <w:t xml:space="preserve">insights into </w:t>
      </w:r>
      <w:r w:rsidRPr="00187B88">
        <w:rPr>
          <w:rFonts w:ascii="Times New Roman" w:hAnsi="Times New Roman" w:cs="Times New Roman"/>
        </w:rPr>
        <w:t xml:space="preserve">the </w:t>
      </w:r>
      <w:r w:rsidR="00A723AE" w:rsidRPr="00187B88">
        <w:rPr>
          <w:rFonts w:ascii="Times New Roman" w:hAnsi="Times New Roman" w:cs="Times New Roman"/>
        </w:rPr>
        <w:t xml:space="preserve">unintended consequences of </w:t>
      </w:r>
      <w:r w:rsidRPr="00187B88">
        <w:rPr>
          <w:rFonts w:ascii="Times New Roman" w:hAnsi="Times New Roman" w:cs="Times New Roman"/>
        </w:rPr>
        <w:t xml:space="preserve">reorganization plans.  A “low-performing” major, for example, may offer indispensable pre- and co-requisites to other majors.  When carefully utilized, faculty expertise may also provide new efficiencies and synergies not immediately obvious in a spreadsheet.  </w:t>
      </w:r>
      <w:r w:rsidR="00A723AE" w:rsidRPr="00187B88">
        <w:rPr>
          <w:rFonts w:ascii="Times New Roman" w:hAnsi="Times New Roman" w:cs="Times New Roman"/>
        </w:rPr>
        <w:t xml:space="preserve">When tenure can be protected, faculty members may be able to respect a long-term shrinking of the size of departments as retiring faculty are not replaced; but when a faculty member represents a body of knowledge not covered by other faculty, everyone suffers the consequences—from students, to a scholarly field’s ability to sustain itself, to the wider public who might know about particular ideas only because a relatively small group </w:t>
      </w:r>
      <w:r w:rsidR="00A27304">
        <w:rPr>
          <w:rFonts w:ascii="Times New Roman" w:hAnsi="Times New Roman" w:cs="Times New Roman"/>
        </w:rPr>
        <w:t xml:space="preserve">of </w:t>
      </w:r>
      <w:r w:rsidR="00A723AE" w:rsidRPr="00187B88">
        <w:rPr>
          <w:rFonts w:ascii="Times New Roman" w:hAnsi="Times New Roman" w:cs="Times New Roman"/>
        </w:rPr>
        <w:t>scholars are dedicated to fostering and developing them.</w:t>
      </w:r>
      <w:r w:rsidR="00A31CC4" w:rsidRPr="00187B88">
        <w:rPr>
          <w:rFonts w:ascii="Times New Roman" w:hAnsi="Times New Roman" w:cs="Times New Roman"/>
        </w:rPr>
        <w:br/>
      </w:r>
    </w:p>
    <w:p w14:paraId="41D2E41F" w14:textId="4C9AF1F1" w:rsidR="00586BCD" w:rsidRPr="00187B88" w:rsidRDefault="00A31CC4" w:rsidP="007F4D7A">
      <w:pPr>
        <w:pStyle w:val="ListParagraph"/>
        <w:numPr>
          <w:ilvl w:val="0"/>
          <w:numId w:val="12"/>
        </w:numPr>
        <w:rPr>
          <w:rFonts w:ascii="Times New Roman" w:hAnsi="Times New Roman" w:cs="Times New Roman"/>
          <w:b/>
        </w:rPr>
      </w:pPr>
      <w:r w:rsidRPr="00187B88">
        <w:rPr>
          <w:rFonts w:ascii="Times New Roman" w:hAnsi="Times New Roman" w:cs="Times New Roman"/>
          <w:b/>
        </w:rPr>
        <w:t xml:space="preserve">Higher education accreditation agencies </w:t>
      </w:r>
      <w:proofErr w:type="gramStart"/>
      <w:r w:rsidRPr="00187B88">
        <w:rPr>
          <w:rFonts w:ascii="Times New Roman" w:hAnsi="Times New Roman" w:cs="Times New Roman"/>
          <w:b/>
        </w:rPr>
        <w:t>expect</w:t>
      </w:r>
      <w:proofErr w:type="gramEnd"/>
      <w:r w:rsidRPr="00187B88">
        <w:rPr>
          <w:rFonts w:ascii="Times New Roman" w:hAnsi="Times New Roman" w:cs="Times New Roman"/>
          <w:b/>
        </w:rPr>
        <w:t xml:space="preserve"> shared governance.  </w:t>
      </w:r>
      <w:r w:rsidRPr="00187B88">
        <w:rPr>
          <w:rFonts w:ascii="Times New Roman" w:hAnsi="Times New Roman" w:cs="Times New Roman"/>
        </w:rPr>
        <w:t xml:space="preserve">Accreditation can be at risk if program consolidations or realignments bypass a genuine faculty role in university </w:t>
      </w:r>
      <w:r w:rsidRPr="00187B88">
        <w:rPr>
          <w:rFonts w:ascii="Times New Roman" w:hAnsi="Times New Roman" w:cs="Times New Roman"/>
        </w:rPr>
        <w:lastRenderedPageBreak/>
        <w:t>governance.</w:t>
      </w:r>
      <w:r w:rsidRPr="00187B88">
        <w:rPr>
          <w:rStyle w:val="FootnoteReference"/>
          <w:rFonts w:ascii="Times New Roman" w:hAnsi="Times New Roman" w:cs="Times New Roman"/>
        </w:rPr>
        <w:footnoteReference w:id="9"/>
      </w:r>
      <w:r w:rsidR="00586BCD" w:rsidRPr="00187B88">
        <w:rPr>
          <w:rFonts w:ascii="Times New Roman" w:hAnsi="Times New Roman" w:cs="Times New Roman"/>
        </w:rPr>
        <w:br/>
      </w:r>
    </w:p>
    <w:p w14:paraId="4F9272B2" w14:textId="34ABB06D" w:rsidR="00A723AE" w:rsidRPr="00187B88" w:rsidRDefault="00586BCD" w:rsidP="001539A5">
      <w:pPr>
        <w:pStyle w:val="ListParagraph"/>
        <w:numPr>
          <w:ilvl w:val="0"/>
          <w:numId w:val="12"/>
        </w:numPr>
        <w:rPr>
          <w:rFonts w:ascii="Times New Roman" w:hAnsi="Times New Roman" w:cs="Times New Roman"/>
          <w:b/>
        </w:rPr>
      </w:pPr>
      <w:r w:rsidRPr="00187B88">
        <w:rPr>
          <w:rFonts w:ascii="Times New Roman" w:hAnsi="Times New Roman" w:cs="Times New Roman"/>
          <w:b/>
        </w:rPr>
        <w:t xml:space="preserve">Any program realignment should make intellectual sense, on academic grounds. </w:t>
      </w:r>
      <w:r w:rsidRPr="00187B88">
        <w:rPr>
          <w:rFonts w:ascii="Times New Roman" w:hAnsi="Times New Roman" w:cs="Times New Roman"/>
        </w:rPr>
        <w:t xml:space="preserve">Faculty members should be able to understand </w:t>
      </w:r>
      <w:r w:rsidRPr="00187B88">
        <w:rPr>
          <w:rFonts w:ascii="Times New Roman" w:hAnsi="Times New Roman" w:cs="Times New Roman"/>
          <w:i/>
        </w:rPr>
        <w:t xml:space="preserve">why </w:t>
      </w:r>
      <w:r w:rsidRPr="00187B88">
        <w:rPr>
          <w:rFonts w:ascii="Times New Roman" w:hAnsi="Times New Roman" w:cs="Times New Roman"/>
        </w:rPr>
        <w:t>a proposed program realignment or consolidation makes sense in academic terms. Administrative efficiency is not a sufficien</w:t>
      </w:r>
      <w:r w:rsidR="007B7B2A">
        <w:rPr>
          <w:rFonts w:ascii="Times New Roman" w:hAnsi="Times New Roman" w:cs="Times New Roman"/>
        </w:rPr>
        <w:t>t reason. For instance, at four-</w:t>
      </w:r>
      <w:r w:rsidRPr="00187B88">
        <w:rPr>
          <w:rFonts w:ascii="Times New Roman" w:hAnsi="Times New Roman" w:cs="Times New Roman"/>
        </w:rPr>
        <w:t>year universities, it does not make sense to most faculty members to form a department that houses all or many humanities and social science programs together—especially if the university plans to support majors and minors in the programs housed within that c</w:t>
      </w:r>
      <w:r w:rsidR="000928D0" w:rsidRPr="00187B88">
        <w:rPr>
          <w:rFonts w:ascii="Times New Roman" w:hAnsi="Times New Roman" w:cs="Times New Roman"/>
        </w:rPr>
        <w:t>onglomerate department. Consistently, faculty do not perceive</w:t>
      </w:r>
      <w:r w:rsidR="00002299" w:rsidRPr="00187B88">
        <w:rPr>
          <w:rFonts w:ascii="Times New Roman" w:hAnsi="Times New Roman" w:cs="Times New Roman"/>
        </w:rPr>
        <w:t xml:space="preserve"> intellectual coherence in</w:t>
      </w:r>
      <w:r w:rsidR="000928D0" w:rsidRPr="00187B88">
        <w:rPr>
          <w:rFonts w:ascii="Times New Roman" w:hAnsi="Times New Roman" w:cs="Times New Roman"/>
        </w:rPr>
        <w:t xml:space="preserve"> creating hybrid departments like</w:t>
      </w:r>
      <w:r w:rsidR="00002299" w:rsidRPr="00187B88">
        <w:rPr>
          <w:rFonts w:ascii="Times New Roman" w:hAnsi="Times New Roman" w:cs="Times New Roman"/>
        </w:rPr>
        <w:t xml:space="preserve"> ‘</w:t>
      </w:r>
      <w:r w:rsidR="000928D0" w:rsidRPr="00187B88">
        <w:rPr>
          <w:rFonts w:ascii="Times New Roman" w:hAnsi="Times New Roman" w:cs="Times New Roman"/>
          <w:shd w:val="clear" w:color="auto" w:fill="FFFFFF"/>
        </w:rPr>
        <w:t>History, World Languages, International Studies, Philosophy, Religious Studies” (a department found at Indiana University East)</w:t>
      </w:r>
      <w:r w:rsidR="0026001B" w:rsidRPr="00187B88">
        <w:rPr>
          <w:rFonts w:ascii="Times New Roman" w:hAnsi="Times New Roman" w:cs="Times New Roman"/>
          <w:shd w:val="clear" w:color="auto" w:fill="FFFFFF"/>
        </w:rPr>
        <w:t xml:space="preserve">, or </w:t>
      </w:r>
      <w:r w:rsidR="0026001B" w:rsidRPr="00187B88">
        <w:rPr>
          <w:rFonts w:ascii="Times New Roman" w:hAnsi="Times New Roman" w:cs="Times New Roman"/>
        </w:rPr>
        <w:t xml:space="preserve">the </w:t>
      </w:r>
      <w:r w:rsidR="0026001B" w:rsidRPr="00187B88">
        <w:rPr>
          <w:rFonts w:ascii="Times New Roman" w:hAnsi="Times New Roman" w:cs="Times New Roman"/>
          <w:bCs/>
          <w:shd w:val="clear" w:color="auto" w:fill="FFFFFF"/>
        </w:rPr>
        <w:t>Department of Geography, Sociology, History, African American Studies and Anthropology</w:t>
      </w:r>
      <w:r w:rsidR="0026001B" w:rsidRPr="00187B88">
        <w:rPr>
          <w:rFonts w:ascii="Times New Roman" w:hAnsi="Times New Roman" w:cs="Times New Roman"/>
        </w:rPr>
        <w:t xml:space="preserve"> (at Chicago State). </w:t>
      </w:r>
      <w:r w:rsidR="000928D0" w:rsidRPr="00187B88">
        <w:rPr>
          <w:rFonts w:ascii="Times New Roman" w:hAnsi="Times New Roman" w:cs="Times New Roman"/>
        </w:rPr>
        <w:t xml:space="preserve">A </w:t>
      </w:r>
      <w:r w:rsidRPr="00187B88">
        <w:rPr>
          <w:rFonts w:ascii="Times New Roman" w:hAnsi="Times New Roman" w:cs="Times New Roman"/>
        </w:rPr>
        <w:t>“diffusion of innovation” can be set in motion before there is any assessment of the effects of particular approaches to academic reorganizations—as if “the need to try something new” is itself justification for dismantling and reforming higher education without consideration of effects or effectiveness.</w:t>
      </w:r>
      <w:r w:rsidR="00271CB8" w:rsidRPr="00187B88">
        <w:rPr>
          <w:rFonts w:ascii="Times New Roman" w:hAnsi="Times New Roman" w:cs="Times New Roman"/>
        </w:rPr>
        <w:br/>
      </w:r>
    </w:p>
    <w:p w14:paraId="5C027A41" w14:textId="490D3A48" w:rsidR="001539A5" w:rsidRPr="00187B88" w:rsidRDefault="007C3E94" w:rsidP="001539A5">
      <w:pPr>
        <w:pStyle w:val="ListParagraph"/>
        <w:numPr>
          <w:ilvl w:val="0"/>
          <w:numId w:val="12"/>
        </w:numPr>
        <w:rPr>
          <w:rFonts w:ascii="Times New Roman" w:hAnsi="Times New Roman" w:cs="Times New Roman"/>
          <w:b/>
        </w:rPr>
      </w:pPr>
      <w:r w:rsidRPr="00187B88">
        <w:rPr>
          <w:rFonts w:ascii="Times New Roman" w:hAnsi="Times New Roman" w:cs="Times New Roman"/>
          <w:b/>
        </w:rPr>
        <w:t>Be aware of the unintended consequences of particular program realignments</w:t>
      </w:r>
      <w:r w:rsidR="00793AEC" w:rsidRPr="00187B88">
        <w:rPr>
          <w:rFonts w:ascii="Times New Roman" w:hAnsi="Times New Roman" w:cs="Times New Roman"/>
          <w:b/>
        </w:rPr>
        <w:t xml:space="preserve">, including the ability to attract and retain faculty. </w:t>
      </w:r>
      <w:r w:rsidR="00793AEC" w:rsidRPr="00187B88">
        <w:rPr>
          <w:rFonts w:ascii="Times New Roman" w:hAnsi="Times New Roman" w:cs="Times New Roman"/>
        </w:rPr>
        <w:t xml:space="preserve">Faculty </w:t>
      </w:r>
      <w:r w:rsidR="001539A5" w:rsidRPr="00187B88">
        <w:rPr>
          <w:rFonts w:ascii="Times New Roman" w:hAnsi="Times New Roman" w:cs="Times New Roman"/>
        </w:rPr>
        <w:t>in some fields may be comfortable with—even energized—by their programs being housed together with different disciplines, while others will see program consolidations and department eliminations (especially those justified entirely on economic ground) as a dismissal or even a punishment, de-valuing long-standing programs that preserve and generate knowledge.  This may have long-term implications for both students and faculty, as departments find it difficult to attract or retain excellent faculty, limiting the ability of faculty to share not only their knowledge but their enthusiasm with students.</w:t>
      </w:r>
    </w:p>
    <w:p w14:paraId="2C430CE4" w14:textId="77777777" w:rsidR="001539A5" w:rsidRPr="00187B88" w:rsidRDefault="001539A5" w:rsidP="001539A5">
      <w:pPr>
        <w:rPr>
          <w:rFonts w:ascii="Times New Roman" w:hAnsi="Times New Roman" w:cs="Times New Roman"/>
          <w:b/>
        </w:rPr>
      </w:pPr>
    </w:p>
    <w:p w14:paraId="6D687B27" w14:textId="45ECE612" w:rsidR="007C3E94" w:rsidRPr="00187B88" w:rsidRDefault="007C3E94" w:rsidP="001539A5">
      <w:pPr>
        <w:rPr>
          <w:rFonts w:ascii="Times New Roman" w:hAnsi="Times New Roman" w:cs="Times New Roman"/>
          <w:b/>
        </w:rPr>
      </w:pPr>
      <w:r w:rsidRPr="00187B88">
        <w:rPr>
          <w:rFonts w:ascii="Times New Roman" w:hAnsi="Times New Roman" w:cs="Times New Roman"/>
          <w:b/>
        </w:rPr>
        <w:t>Conclusion</w:t>
      </w:r>
    </w:p>
    <w:p w14:paraId="3A0ECA03" w14:textId="3072CB3B" w:rsidR="007F4D7A" w:rsidRPr="00187B88" w:rsidRDefault="002C4F08">
      <w:pPr>
        <w:rPr>
          <w:rFonts w:ascii="Times New Roman" w:hAnsi="Times New Roman" w:cs="Times New Roman"/>
          <w:b/>
        </w:rPr>
      </w:pPr>
      <w:r w:rsidRPr="00187B88">
        <w:rPr>
          <w:rFonts w:ascii="Times New Roman" w:hAnsi="Times New Roman" w:cs="Times New Roman"/>
        </w:rPr>
        <w:t>Many recent program realignments are modeled after management practices in the business world, which emphasize efficiency, cost savings, reducing “silos,” and fostering interdisciplinary collaboration.</w:t>
      </w:r>
      <w:r w:rsidRPr="00187B88">
        <w:rPr>
          <w:rStyle w:val="FootnoteReference"/>
          <w:rFonts w:ascii="Times New Roman" w:hAnsi="Times New Roman" w:cs="Times New Roman"/>
        </w:rPr>
        <w:footnoteReference w:id="10"/>
      </w:r>
      <w:r w:rsidRPr="00187B88">
        <w:rPr>
          <w:rFonts w:ascii="Times New Roman" w:hAnsi="Times New Roman" w:cs="Times New Roman"/>
        </w:rPr>
        <w:t xml:space="preserve"> Adopting such language wholesale from the field of business fails to do justice to the unique nature of higher education, and displaces faculty </w:t>
      </w:r>
      <w:r w:rsidR="00793AEC" w:rsidRPr="00187B88">
        <w:rPr>
          <w:rFonts w:ascii="Times New Roman" w:hAnsi="Times New Roman" w:cs="Times New Roman"/>
        </w:rPr>
        <w:t>members from a sense of responsibility for and pride in</w:t>
      </w:r>
      <w:r w:rsidRPr="00187B88">
        <w:rPr>
          <w:rFonts w:ascii="Times New Roman" w:hAnsi="Times New Roman" w:cs="Times New Roman"/>
        </w:rPr>
        <w:t xml:space="preserve"> their programs and their professions.</w:t>
      </w:r>
      <w:r w:rsidR="008028BE" w:rsidRPr="00187B88">
        <w:rPr>
          <w:rFonts w:ascii="Times New Roman" w:hAnsi="Times New Roman" w:cs="Times New Roman"/>
        </w:rPr>
        <w:t xml:space="preserve">  The long-term success of higher education requires us to h</w:t>
      </w:r>
      <w:r w:rsidR="007C3E94" w:rsidRPr="00187B88">
        <w:rPr>
          <w:rFonts w:ascii="Times New Roman" w:hAnsi="Times New Roman" w:cs="Times New Roman"/>
        </w:rPr>
        <w:t>old fast to the values of generating and preserving knowledge that are core to any university or college that is not a technical vocational school.</w:t>
      </w:r>
      <w:r w:rsidR="00EA34F3" w:rsidRPr="00187B88">
        <w:rPr>
          <w:rFonts w:ascii="Times New Roman" w:hAnsi="Times New Roman" w:cs="Times New Roman"/>
          <w:b/>
        </w:rPr>
        <w:t xml:space="preserve">  </w:t>
      </w:r>
      <w:r w:rsidR="00EA34F3" w:rsidRPr="00187B88">
        <w:rPr>
          <w:rFonts w:ascii="Times New Roman" w:hAnsi="Times New Roman" w:cs="Times New Roman"/>
        </w:rPr>
        <w:t>The liberal arts and sciences are vital to these values, especially with regard to k</w:t>
      </w:r>
      <w:r w:rsidR="00793AEC" w:rsidRPr="00187B88">
        <w:rPr>
          <w:rFonts w:ascii="Times New Roman" w:hAnsi="Times New Roman" w:cs="Times New Roman"/>
        </w:rPr>
        <w:t>nowledge that might not always be immediately applicable in the marketplace</w:t>
      </w:r>
      <w:r w:rsidR="00EA34F3" w:rsidRPr="00187B88">
        <w:rPr>
          <w:rFonts w:ascii="Times New Roman" w:hAnsi="Times New Roman" w:cs="Times New Roman"/>
        </w:rPr>
        <w:t>—such as knowledge about human history, culture, and meaning-making</w:t>
      </w:r>
      <w:r w:rsidR="00F759C0" w:rsidRPr="00187B88">
        <w:rPr>
          <w:rFonts w:ascii="Times New Roman" w:hAnsi="Times New Roman" w:cs="Times New Roman"/>
        </w:rPr>
        <w:t xml:space="preserve"> – but which provide the </w:t>
      </w:r>
      <w:r w:rsidR="00793AEC" w:rsidRPr="00187B88">
        <w:rPr>
          <w:rFonts w:ascii="Times New Roman" w:hAnsi="Times New Roman" w:cs="Times New Roman"/>
        </w:rPr>
        <w:t>“future proof” skills of critical thinking, c</w:t>
      </w:r>
      <w:r w:rsidR="00F759C0" w:rsidRPr="00187B88">
        <w:rPr>
          <w:rFonts w:ascii="Times New Roman" w:hAnsi="Times New Roman" w:cs="Times New Roman"/>
        </w:rPr>
        <w:t>ontex</w:t>
      </w:r>
      <w:r w:rsidR="00793AEC" w:rsidRPr="00187B88">
        <w:rPr>
          <w:rFonts w:ascii="Times New Roman" w:hAnsi="Times New Roman" w:cs="Times New Roman"/>
        </w:rPr>
        <w:t>tualization and communication on which our students depend for their future careers and contributions as citizens.</w:t>
      </w:r>
    </w:p>
    <w:sectPr w:rsidR="007F4D7A" w:rsidRPr="00187B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793D9" w14:textId="77777777" w:rsidR="00231F19" w:rsidRDefault="00231F19" w:rsidP="002C4F08">
      <w:pPr>
        <w:spacing w:after="0" w:line="240" w:lineRule="auto"/>
      </w:pPr>
      <w:r>
        <w:separator/>
      </w:r>
    </w:p>
  </w:endnote>
  <w:endnote w:type="continuationSeparator" w:id="0">
    <w:p w14:paraId="4FF4E8E6" w14:textId="77777777" w:rsidR="00231F19" w:rsidRDefault="00231F19" w:rsidP="002C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DD81" w14:textId="77777777" w:rsidR="00231F19" w:rsidRDefault="00231F19" w:rsidP="002C4F08">
      <w:pPr>
        <w:spacing w:after="0" w:line="240" w:lineRule="auto"/>
      </w:pPr>
      <w:r>
        <w:separator/>
      </w:r>
    </w:p>
  </w:footnote>
  <w:footnote w:type="continuationSeparator" w:id="0">
    <w:p w14:paraId="2EC39934" w14:textId="77777777" w:rsidR="00231F19" w:rsidRDefault="00231F19" w:rsidP="002C4F08">
      <w:pPr>
        <w:spacing w:after="0" w:line="240" w:lineRule="auto"/>
      </w:pPr>
      <w:r>
        <w:continuationSeparator/>
      </w:r>
    </w:p>
  </w:footnote>
  <w:footnote w:id="1">
    <w:p w14:paraId="45792AA1" w14:textId="77777777" w:rsidR="0006567D" w:rsidRPr="00B613A3" w:rsidRDefault="0006567D" w:rsidP="0006567D">
      <w:pPr>
        <w:pStyle w:val="FootnoteText"/>
        <w:rPr>
          <w:i/>
        </w:rPr>
      </w:pPr>
      <w:r>
        <w:rPr>
          <w:rStyle w:val="FootnoteReference"/>
        </w:rPr>
        <w:footnoteRef/>
      </w:r>
      <w:r>
        <w:t xml:space="preserve"> Ralph </w:t>
      </w:r>
      <w:proofErr w:type="spellStart"/>
      <w:r>
        <w:t>Martire</w:t>
      </w:r>
      <w:proofErr w:type="spellEnd"/>
      <w:r>
        <w:t xml:space="preserve">, “Difficult challenges await Pritzker,” </w:t>
      </w:r>
      <w:r>
        <w:rPr>
          <w:i/>
        </w:rPr>
        <w:t xml:space="preserve">The State Journal-Register,” </w:t>
      </w:r>
      <w:r w:rsidRPr="00B613A3">
        <w:t>12-19-18.</w:t>
      </w:r>
    </w:p>
  </w:footnote>
  <w:footnote w:id="2">
    <w:p w14:paraId="700C1EE2" w14:textId="77777777" w:rsidR="00F203BB" w:rsidRDefault="00F203BB" w:rsidP="00F203BB">
      <w:pPr>
        <w:pStyle w:val="FootnoteText"/>
      </w:pPr>
      <w:r>
        <w:rPr>
          <w:rStyle w:val="FootnoteReference"/>
        </w:rPr>
        <w:footnoteRef/>
      </w:r>
      <w:r>
        <w:t xml:space="preserve"> “Beginning College Students Who Change Their Majors Within 3 Years of Enrollment,” U.S. Department of Education Data Point (NCES 2018-434) </w:t>
      </w:r>
    </w:p>
  </w:footnote>
  <w:footnote w:id="3">
    <w:p w14:paraId="7F0B329C" w14:textId="77777777" w:rsidR="00240848" w:rsidRDefault="00240848" w:rsidP="00240848">
      <w:pPr>
        <w:pStyle w:val="FootnoteText"/>
      </w:pPr>
      <w:r>
        <w:rPr>
          <w:rStyle w:val="FootnoteReference"/>
        </w:rPr>
        <w:footnoteRef/>
      </w:r>
      <w:r>
        <w:t xml:space="preserve"> Kate McGee, “City Colleges of Chicago Are Being Reinvented. So Why Aren’t Students Going?” </w:t>
      </w:r>
      <w:r>
        <w:rPr>
          <w:i/>
        </w:rPr>
        <w:t xml:space="preserve">WBEZ, </w:t>
      </w:r>
      <w:r>
        <w:t xml:space="preserve">1-28-19 </w:t>
      </w:r>
      <w:hyperlink r:id="rId1" w:history="1">
        <w:r w:rsidRPr="00AE7F52">
          <w:rPr>
            <w:rStyle w:val="Hyperlink"/>
          </w:rPr>
          <w:t>https://www.wbez.org/shows/wbez-news/city-colleges-of-chicago-are-being-reinvented-so-why-arent-students-going/0c0d2484-3459-42cf-a606-97a7c8719bb3</w:t>
        </w:r>
      </w:hyperlink>
      <w:r>
        <w:t xml:space="preserve"> </w:t>
      </w:r>
    </w:p>
  </w:footnote>
  <w:footnote w:id="4">
    <w:p w14:paraId="755201B5" w14:textId="77777777" w:rsidR="005C7826" w:rsidRDefault="005C7826" w:rsidP="005C7826">
      <w:pPr>
        <w:pStyle w:val="FootnoteText"/>
      </w:pPr>
      <w:r>
        <w:rPr>
          <w:rStyle w:val="FootnoteReference"/>
        </w:rPr>
        <w:footnoteRef/>
      </w:r>
      <w:r>
        <w:t xml:space="preserve"> Another IBHE Faculty Advisory Council white paper expresses additional concerns about the use of the Low-Producing Program Report.</w:t>
      </w:r>
    </w:p>
  </w:footnote>
  <w:footnote w:id="5">
    <w:p w14:paraId="4384D581" w14:textId="3C8644C0" w:rsidR="00392F2B" w:rsidRPr="00392F2B" w:rsidRDefault="00CF7955" w:rsidP="00392F2B">
      <w:pPr>
        <w:shd w:val="clear" w:color="auto" w:fill="FFFFFF"/>
        <w:spacing w:after="0" w:line="240" w:lineRule="auto"/>
        <w:ind w:left="360"/>
        <w:rPr>
          <w:rFonts w:ascii="Times New Roman" w:eastAsia="Times New Roman" w:hAnsi="Times New Roman" w:cs="Times New Roman"/>
          <w:color w:val="000000"/>
          <w:szCs w:val="24"/>
        </w:rPr>
      </w:pPr>
      <w:r>
        <w:rPr>
          <w:rStyle w:val="FootnoteReference"/>
        </w:rPr>
        <w:footnoteRef/>
      </w:r>
      <w:r>
        <w:t xml:space="preserve"> </w:t>
      </w:r>
      <w:r w:rsidRPr="00392F2B">
        <w:rPr>
          <w:sz w:val="20"/>
        </w:rPr>
        <w:t xml:space="preserve">It is important to note that the expectation of 40 majors to avoid being on a Low-Producing Program Report) was </w:t>
      </w:r>
      <w:r w:rsidRPr="00392F2B">
        <w:rPr>
          <w:i/>
          <w:sz w:val="20"/>
        </w:rPr>
        <w:t xml:space="preserve">not </w:t>
      </w:r>
      <w:r w:rsidRPr="00392F2B">
        <w:rPr>
          <w:sz w:val="20"/>
        </w:rPr>
        <w:t>legislatively mandated, but an interpretation made by the IBHE in consultation with university presidents.</w:t>
      </w:r>
      <w:r w:rsidR="00392F2B" w:rsidRPr="00392F2B">
        <w:rPr>
          <w:sz w:val="20"/>
        </w:rPr>
        <w:t xml:space="preserve"> </w:t>
      </w:r>
      <w:r w:rsidR="00392F2B" w:rsidRPr="00392F2B">
        <w:rPr>
          <w:rFonts w:ascii="Calibri" w:eastAsia="Times New Roman" w:hAnsi="Calibri" w:cs="Times New Roman"/>
          <w:sz w:val="20"/>
        </w:rPr>
        <w:t xml:space="preserve">See the mandates of Public Act 097-0610 </w:t>
      </w:r>
      <w:r w:rsidR="00392F2B" w:rsidRPr="00392F2B">
        <w:rPr>
          <w:rFonts w:ascii="Calibri" w:eastAsia="Times New Roman" w:hAnsi="Calibri" w:cs="Times New Roman"/>
          <w:color w:val="1F497D"/>
          <w:sz w:val="20"/>
        </w:rPr>
        <w:t>(</w:t>
      </w:r>
      <w:hyperlink r:id="rId2" w:tgtFrame="_blank" w:history="1">
        <w:r w:rsidR="00392F2B" w:rsidRPr="00392F2B">
          <w:rPr>
            <w:rFonts w:ascii="Calibri" w:eastAsia="Times New Roman" w:hAnsi="Calibri" w:cs="Times New Roman"/>
            <w:color w:val="0563C1"/>
            <w:sz w:val="20"/>
          </w:rPr>
          <w:t>http://www.ilga.gov/legislation/publicacts/fulltext.asp?Name=097-0610</w:t>
        </w:r>
      </w:hyperlink>
      <w:r w:rsidR="00392F2B" w:rsidRPr="00392F2B">
        <w:rPr>
          <w:rFonts w:ascii="Calibri" w:eastAsia="Times New Roman" w:hAnsi="Calibri" w:cs="Times New Roman"/>
          <w:color w:val="1F497D"/>
          <w:sz w:val="20"/>
        </w:rPr>
        <w:t xml:space="preserve">), </w:t>
      </w:r>
      <w:r w:rsidR="00392F2B" w:rsidRPr="00392F2B">
        <w:rPr>
          <w:rFonts w:ascii="Calibri" w:eastAsia="Times New Roman" w:hAnsi="Calibri" w:cs="Times New Roman"/>
          <w:sz w:val="20"/>
        </w:rPr>
        <w:t>which amended 110 ILCS 205/7 and charged:</w:t>
      </w:r>
    </w:p>
    <w:p w14:paraId="3A8C7155" w14:textId="77777777" w:rsidR="00392F2B" w:rsidRPr="00392F2B" w:rsidRDefault="00392F2B" w:rsidP="00392F2B">
      <w:pPr>
        <w:shd w:val="clear" w:color="auto" w:fill="FFFFFF"/>
        <w:spacing w:after="0" w:line="240" w:lineRule="auto"/>
        <w:ind w:left="1080"/>
        <w:rPr>
          <w:rFonts w:eastAsia="Times New Roman" w:cs="Times New Roman"/>
          <w:color w:val="000000"/>
          <w:sz w:val="20"/>
          <w:szCs w:val="24"/>
        </w:rPr>
      </w:pPr>
      <w:r w:rsidRPr="00392F2B">
        <w:rPr>
          <w:rFonts w:eastAsia="Times New Roman" w:cs="Times New Roman"/>
          <w:color w:val="000000"/>
          <w:sz w:val="20"/>
          <w:szCs w:val="24"/>
        </w:rPr>
        <w:t>Each State university shall report annually to the Board on programs of instruction, research, or public service that have been terminated, dissolved, reduced, or consolidated by the university. Each State university shall also report to the Board all programs of instruction, research, and public service that exhibit a trend of low performance in enrollments, degree completions, and high expense per degree. The Board shall compile an annual report that shall contain information on new programs created, existing programs that have been closed or consolidated, and programs that exhibit low performance or productivity. The report must be submitted to the General Assembly.</w:t>
      </w:r>
    </w:p>
    <w:p w14:paraId="3344248A" w14:textId="1EF1F65B" w:rsidR="00CF7955" w:rsidRPr="00CF7955" w:rsidRDefault="00CF7955">
      <w:pPr>
        <w:pStyle w:val="FootnoteText"/>
      </w:pPr>
    </w:p>
  </w:footnote>
  <w:footnote w:id="6">
    <w:p w14:paraId="73F104C7" w14:textId="30876FCA" w:rsidR="00900B72" w:rsidRDefault="00900B72">
      <w:pPr>
        <w:pStyle w:val="FootnoteText"/>
      </w:pPr>
      <w:r>
        <w:rPr>
          <w:rStyle w:val="FootnoteReference"/>
        </w:rPr>
        <w:footnoteRef/>
      </w:r>
      <w:r>
        <w:t xml:space="preserve"> Alex </w:t>
      </w:r>
      <w:proofErr w:type="spellStart"/>
      <w:r>
        <w:t>Chriss</w:t>
      </w:r>
      <w:proofErr w:type="spellEnd"/>
      <w:r>
        <w:t xml:space="preserve">, “Don’t Ditch That Liberal Arts Degree: A liberal arts degree is an asset in Silicon Valley, not a liability,” </w:t>
      </w:r>
      <w:r>
        <w:rPr>
          <w:i/>
        </w:rPr>
        <w:t xml:space="preserve">US News &amp; World Report, </w:t>
      </w:r>
      <w:r>
        <w:t xml:space="preserve">1-19-18, </w:t>
      </w:r>
      <w:hyperlink r:id="rId3" w:history="1">
        <w:r w:rsidRPr="00AE7F52">
          <w:rPr>
            <w:rStyle w:val="Hyperlink"/>
          </w:rPr>
          <w:t>https://www.usnews.com/opinion/knowledge-bank/articles/2018-01-19/in-this-digital-age-students-with-liberal-arts-training-stand-out</w:t>
        </w:r>
      </w:hyperlink>
      <w:r>
        <w:t xml:space="preserve"> </w:t>
      </w:r>
    </w:p>
  </w:footnote>
  <w:footnote w:id="7">
    <w:p w14:paraId="19D65624" w14:textId="6E51870A" w:rsidR="00002299" w:rsidRDefault="00002299">
      <w:pPr>
        <w:pStyle w:val="FootnoteText"/>
      </w:pPr>
      <w:r>
        <w:rPr>
          <w:rStyle w:val="FootnoteReference"/>
        </w:rPr>
        <w:footnoteRef/>
      </w:r>
      <w:r>
        <w:t xml:space="preserve"> As reported in the November 16, 2018 minutes of the IBHE Facul</w:t>
      </w:r>
      <w:r w:rsidR="0031701D">
        <w:t>ty Advisory Council in a Q and A</w:t>
      </w:r>
      <w:r>
        <w:t xml:space="preserve"> with former IBHE Executive Director Al Bowman</w:t>
      </w:r>
      <w:proofErr w:type="gramStart"/>
      <w:r>
        <w:t xml:space="preserve">:  </w:t>
      </w:r>
      <w:r w:rsidRPr="00002299">
        <w:rPr>
          <w:rFonts w:cstheme="minorHAnsi"/>
        </w:rPr>
        <w:t>“</w:t>
      </w:r>
      <w:proofErr w:type="gramEnd"/>
      <w:r w:rsidRPr="00002299">
        <w:rPr>
          <w:rFonts w:cstheme="minorHAnsi"/>
        </w:rPr>
        <w:t>The underperforming programs report and the budget concerns led to a perception of guidance counselors and families that institutions were weakened.”</w:t>
      </w:r>
    </w:p>
  </w:footnote>
  <w:footnote w:id="8">
    <w:p w14:paraId="1DFCDD2A" w14:textId="1613FA22" w:rsidR="001F66F8" w:rsidRPr="00391454" w:rsidRDefault="001F66F8">
      <w:pPr>
        <w:pStyle w:val="FootnoteText"/>
      </w:pPr>
      <w:r w:rsidRPr="00391454">
        <w:rPr>
          <w:rStyle w:val="FootnoteReference"/>
        </w:rPr>
        <w:footnoteRef/>
      </w:r>
      <w:r w:rsidRPr="00391454">
        <w:t xml:space="preserve"> For the significance of shared governance and faculty involvement in decisions in higher ed institutions, see Julie Bourbon, “Crisis of Confidence: Faculty no-confidence votes have risen dramatically in the past decade. What are the underlying reasons, and how should boards respond?” </w:t>
      </w:r>
      <w:r w:rsidRPr="00391454">
        <w:rPr>
          <w:i/>
        </w:rPr>
        <w:t xml:space="preserve">AGB (Association of Governing Boards), </w:t>
      </w:r>
      <w:r w:rsidRPr="00391454">
        <w:t>November/December 2018, 25-29.</w:t>
      </w:r>
    </w:p>
  </w:footnote>
  <w:footnote w:id="9">
    <w:p w14:paraId="6F408523" w14:textId="578AD9E0" w:rsidR="00A31CC4" w:rsidRPr="00A31CC4" w:rsidRDefault="00A31CC4">
      <w:pPr>
        <w:pStyle w:val="FootnoteText"/>
        <w:rPr>
          <w:color w:val="ED7D31" w:themeColor="accent2"/>
        </w:rPr>
      </w:pPr>
      <w:r w:rsidRPr="00391454">
        <w:rPr>
          <w:rStyle w:val="FootnoteReference"/>
        </w:rPr>
        <w:footnoteRef/>
      </w:r>
      <w:r w:rsidRPr="00391454">
        <w:t xml:space="preserve"> For a summary of regional accrediting standards in relationship to shared governance, see “Regional Accreditation Standards Concerning Academic Freedom and the Faculty Role in Governance,” </w:t>
      </w:r>
      <w:r w:rsidRPr="00391454">
        <w:rPr>
          <w:i/>
        </w:rPr>
        <w:t xml:space="preserve">American Association of University Professors, </w:t>
      </w:r>
      <w:hyperlink r:id="rId4" w:history="1">
        <w:r w:rsidRPr="00391454">
          <w:rPr>
            <w:rStyle w:val="Hyperlink"/>
            <w:color w:val="auto"/>
          </w:rPr>
          <w:t>https://www.aaup.org/report/regional-accreditation-standards-concerning-academic-freedom-and-faculty-role-governance</w:t>
        </w:r>
      </w:hyperlink>
      <w:r w:rsidRPr="00391454">
        <w:rPr>
          <w:i/>
        </w:rPr>
        <w:t xml:space="preserve"> </w:t>
      </w:r>
    </w:p>
  </w:footnote>
  <w:footnote w:id="10">
    <w:p w14:paraId="102D08BD" w14:textId="77777777" w:rsidR="002C4F08" w:rsidRPr="00B11237" w:rsidRDefault="002C4F08" w:rsidP="002C4F08">
      <w:pPr>
        <w:pStyle w:val="FootnoteText"/>
      </w:pPr>
      <w:r>
        <w:rPr>
          <w:rStyle w:val="FootnoteReference"/>
        </w:rPr>
        <w:footnoteRef/>
      </w:r>
      <w:r>
        <w:t xml:space="preserve"> See Jonathan </w:t>
      </w:r>
      <w:proofErr w:type="spellStart"/>
      <w:r>
        <w:t>Kramnick’s</w:t>
      </w:r>
      <w:proofErr w:type="spellEnd"/>
      <w:r>
        <w:t xml:space="preserve"> “The Interdisciplinary Delusion: Saving disciplines is the only way to save ourselves,” </w:t>
      </w:r>
      <w:r>
        <w:rPr>
          <w:i/>
        </w:rPr>
        <w:t xml:space="preserve">The Chronicle of Higher Education, </w:t>
      </w:r>
      <w:r>
        <w:t>October 11, 1018.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AB0"/>
    <w:multiLevelType w:val="hybridMultilevel"/>
    <w:tmpl w:val="E8C2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2CEF"/>
    <w:multiLevelType w:val="hybridMultilevel"/>
    <w:tmpl w:val="FF38BACA"/>
    <w:lvl w:ilvl="0" w:tplc="ED78BBA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47E2"/>
    <w:multiLevelType w:val="hybridMultilevel"/>
    <w:tmpl w:val="EDDA5B98"/>
    <w:lvl w:ilvl="0" w:tplc="ED78BB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E2BC3"/>
    <w:multiLevelType w:val="hybridMultilevel"/>
    <w:tmpl w:val="9B6E4E12"/>
    <w:lvl w:ilvl="0" w:tplc="667E8B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943C4"/>
    <w:multiLevelType w:val="hybridMultilevel"/>
    <w:tmpl w:val="F8C8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1738"/>
    <w:multiLevelType w:val="hybridMultilevel"/>
    <w:tmpl w:val="FF38BACA"/>
    <w:lvl w:ilvl="0" w:tplc="ED78BBA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D7F2E"/>
    <w:multiLevelType w:val="hybridMultilevel"/>
    <w:tmpl w:val="4944404C"/>
    <w:lvl w:ilvl="0" w:tplc="ED78BB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F0469"/>
    <w:multiLevelType w:val="hybridMultilevel"/>
    <w:tmpl w:val="6E285FFC"/>
    <w:lvl w:ilvl="0" w:tplc="A67431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D3016"/>
    <w:multiLevelType w:val="hybridMultilevel"/>
    <w:tmpl w:val="F8C8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C3686"/>
    <w:multiLevelType w:val="hybridMultilevel"/>
    <w:tmpl w:val="3C3A0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0762BA"/>
    <w:multiLevelType w:val="hybridMultilevel"/>
    <w:tmpl w:val="40C8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719B5"/>
    <w:multiLevelType w:val="hybridMultilevel"/>
    <w:tmpl w:val="B978D332"/>
    <w:lvl w:ilvl="0" w:tplc="BE64B0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5758A"/>
    <w:multiLevelType w:val="hybridMultilevel"/>
    <w:tmpl w:val="F8C8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357B9"/>
    <w:multiLevelType w:val="hybridMultilevel"/>
    <w:tmpl w:val="19C61616"/>
    <w:lvl w:ilvl="0" w:tplc="ED78BB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628BC"/>
    <w:multiLevelType w:val="hybridMultilevel"/>
    <w:tmpl w:val="FDB6E398"/>
    <w:lvl w:ilvl="0" w:tplc="ED78BB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94313"/>
    <w:multiLevelType w:val="hybridMultilevel"/>
    <w:tmpl w:val="4DAE6ED6"/>
    <w:lvl w:ilvl="0" w:tplc="624EE428">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B5D42"/>
    <w:multiLevelType w:val="hybridMultilevel"/>
    <w:tmpl w:val="0DBE88C2"/>
    <w:lvl w:ilvl="0" w:tplc="26003CC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B43FA"/>
    <w:multiLevelType w:val="hybridMultilevel"/>
    <w:tmpl w:val="A28E92FC"/>
    <w:lvl w:ilvl="0" w:tplc="778A84FC">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2"/>
  </w:num>
  <w:num w:numId="5">
    <w:abstractNumId w:val="6"/>
  </w:num>
  <w:num w:numId="6">
    <w:abstractNumId w:val="5"/>
  </w:num>
  <w:num w:numId="7">
    <w:abstractNumId w:val="14"/>
  </w:num>
  <w:num w:numId="8">
    <w:abstractNumId w:val="4"/>
  </w:num>
  <w:num w:numId="9">
    <w:abstractNumId w:val="1"/>
  </w:num>
  <w:num w:numId="10">
    <w:abstractNumId w:val="9"/>
  </w:num>
  <w:num w:numId="11">
    <w:abstractNumId w:val="17"/>
  </w:num>
  <w:num w:numId="12">
    <w:abstractNumId w:val="16"/>
  </w:num>
  <w:num w:numId="13">
    <w:abstractNumId w:val="10"/>
  </w:num>
  <w:num w:numId="14">
    <w:abstractNumId w:val="0"/>
  </w:num>
  <w:num w:numId="15">
    <w:abstractNumId w:val="7"/>
  </w:num>
  <w:num w:numId="16">
    <w:abstractNumId w:val="1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6F"/>
    <w:rsid w:val="00002299"/>
    <w:rsid w:val="000257F9"/>
    <w:rsid w:val="00027DCF"/>
    <w:rsid w:val="0006567D"/>
    <w:rsid w:val="0008749A"/>
    <w:rsid w:val="000928D0"/>
    <w:rsid w:val="001225E3"/>
    <w:rsid w:val="0012401D"/>
    <w:rsid w:val="00142FF1"/>
    <w:rsid w:val="001539A5"/>
    <w:rsid w:val="00172508"/>
    <w:rsid w:val="00176BBF"/>
    <w:rsid w:val="00187B88"/>
    <w:rsid w:val="001F66F8"/>
    <w:rsid w:val="00211D56"/>
    <w:rsid w:val="00231F19"/>
    <w:rsid w:val="00237791"/>
    <w:rsid w:val="00240848"/>
    <w:rsid w:val="00252476"/>
    <w:rsid w:val="00256EBC"/>
    <w:rsid w:val="0026001B"/>
    <w:rsid w:val="0026370D"/>
    <w:rsid w:val="00271CB8"/>
    <w:rsid w:val="002754E1"/>
    <w:rsid w:val="002C4F08"/>
    <w:rsid w:val="002D62A2"/>
    <w:rsid w:val="003149FA"/>
    <w:rsid w:val="0031701D"/>
    <w:rsid w:val="00327155"/>
    <w:rsid w:val="00374EDF"/>
    <w:rsid w:val="00387B22"/>
    <w:rsid w:val="00391454"/>
    <w:rsid w:val="00392F2B"/>
    <w:rsid w:val="003F55F5"/>
    <w:rsid w:val="00415045"/>
    <w:rsid w:val="00417098"/>
    <w:rsid w:val="004662B2"/>
    <w:rsid w:val="004855B6"/>
    <w:rsid w:val="004B0C6B"/>
    <w:rsid w:val="004B148E"/>
    <w:rsid w:val="004D31AE"/>
    <w:rsid w:val="00505DB6"/>
    <w:rsid w:val="00540044"/>
    <w:rsid w:val="005678DD"/>
    <w:rsid w:val="005740D9"/>
    <w:rsid w:val="00586BCD"/>
    <w:rsid w:val="005C7826"/>
    <w:rsid w:val="005E07D3"/>
    <w:rsid w:val="005E4AB0"/>
    <w:rsid w:val="005E56BB"/>
    <w:rsid w:val="005F0EB6"/>
    <w:rsid w:val="006525A2"/>
    <w:rsid w:val="00672658"/>
    <w:rsid w:val="006A219D"/>
    <w:rsid w:val="006C573C"/>
    <w:rsid w:val="00737F03"/>
    <w:rsid w:val="00743F34"/>
    <w:rsid w:val="00757F25"/>
    <w:rsid w:val="00784785"/>
    <w:rsid w:val="00793AEC"/>
    <w:rsid w:val="007B7AC7"/>
    <w:rsid w:val="007B7B2A"/>
    <w:rsid w:val="007C3E94"/>
    <w:rsid w:val="007D7CEB"/>
    <w:rsid w:val="007F4D7A"/>
    <w:rsid w:val="008028BE"/>
    <w:rsid w:val="00807FFD"/>
    <w:rsid w:val="00835318"/>
    <w:rsid w:val="00892F58"/>
    <w:rsid w:val="008E0D28"/>
    <w:rsid w:val="00900B72"/>
    <w:rsid w:val="00910157"/>
    <w:rsid w:val="00980F4F"/>
    <w:rsid w:val="00985601"/>
    <w:rsid w:val="009B1FE3"/>
    <w:rsid w:val="009D24F0"/>
    <w:rsid w:val="009E1E5B"/>
    <w:rsid w:val="009F2DAE"/>
    <w:rsid w:val="00A27304"/>
    <w:rsid w:val="00A31CC4"/>
    <w:rsid w:val="00A66ADF"/>
    <w:rsid w:val="00A723AE"/>
    <w:rsid w:val="00B168B6"/>
    <w:rsid w:val="00B30F9D"/>
    <w:rsid w:val="00BD2EB5"/>
    <w:rsid w:val="00BE5D98"/>
    <w:rsid w:val="00C13130"/>
    <w:rsid w:val="00C355CD"/>
    <w:rsid w:val="00C451E9"/>
    <w:rsid w:val="00CA413F"/>
    <w:rsid w:val="00CC0D85"/>
    <w:rsid w:val="00CD73C4"/>
    <w:rsid w:val="00CF7955"/>
    <w:rsid w:val="00D07B2D"/>
    <w:rsid w:val="00D400EF"/>
    <w:rsid w:val="00D84739"/>
    <w:rsid w:val="00DF539F"/>
    <w:rsid w:val="00E11ACB"/>
    <w:rsid w:val="00E22712"/>
    <w:rsid w:val="00E732D4"/>
    <w:rsid w:val="00EA34F3"/>
    <w:rsid w:val="00EA3A9B"/>
    <w:rsid w:val="00ED2EF0"/>
    <w:rsid w:val="00F203BB"/>
    <w:rsid w:val="00F318F7"/>
    <w:rsid w:val="00F45526"/>
    <w:rsid w:val="00F672E0"/>
    <w:rsid w:val="00F759C0"/>
    <w:rsid w:val="00F8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C94E"/>
  <w15:docId w15:val="{4C920A5C-1617-4C95-B49E-2C4DA3C1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A6F"/>
  </w:style>
  <w:style w:type="paragraph" w:styleId="Heading1">
    <w:name w:val="heading 1"/>
    <w:basedOn w:val="Normal"/>
    <w:next w:val="Normal"/>
    <w:link w:val="Heading1Char"/>
    <w:uiPriority w:val="9"/>
    <w:qFormat/>
    <w:rsid w:val="00EA34F3"/>
    <w:pPr>
      <w:keepNext/>
      <w:keepLines/>
      <w:spacing w:before="480" w:after="0" w:line="240" w:lineRule="auto"/>
      <w:jc w:val="center"/>
      <w:outlineLvl w:val="0"/>
    </w:pPr>
    <w:rPr>
      <w:rFonts w:ascii="Papyrus" w:eastAsiaTheme="majorEastAsia" w:hAnsi="Papyrus"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A6F"/>
    <w:rPr>
      <w:sz w:val="16"/>
      <w:szCs w:val="16"/>
    </w:rPr>
  </w:style>
  <w:style w:type="paragraph" w:styleId="CommentText">
    <w:name w:val="annotation text"/>
    <w:basedOn w:val="Normal"/>
    <w:link w:val="CommentTextChar"/>
    <w:uiPriority w:val="99"/>
    <w:unhideWhenUsed/>
    <w:rsid w:val="00F85A6F"/>
    <w:pPr>
      <w:spacing w:line="240" w:lineRule="auto"/>
    </w:pPr>
    <w:rPr>
      <w:sz w:val="20"/>
      <w:szCs w:val="20"/>
    </w:rPr>
  </w:style>
  <w:style w:type="character" w:customStyle="1" w:styleId="CommentTextChar">
    <w:name w:val="Comment Text Char"/>
    <w:basedOn w:val="DefaultParagraphFont"/>
    <w:link w:val="CommentText"/>
    <w:uiPriority w:val="99"/>
    <w:rsid w:val="00F85A6F"/>
    <w:rPr>
      <w:sz w:val="20"/>
      <w:szCs w:val="20"/>
    </w:rPr>
  </w:style>
  <w:style w:type="paragraph" w:styleId="BalloonText">
    <w:name w:val="Balloon Text"/>
    <w:basedOn w:val="Normal"/>
    <w:link w:val="BalloonTextChar"/>
    <w:uiPriority w:val="99"/>
    <w:semiHidden/>
    <w:unhideWhenUsed/>
    <w:rsid w:val="00F85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6F"/>
    <w:rPr>
      <w:rFonts w:ascii="Segoe UI" w:hAnsi="Segoe UI" w:cs="Segoe UI"/>
      <w:sz w:val="18"/>
      <w:szCs w:val="18"/>
    </w:rPr>
  </w:style>
  <w:style w:type="paragraph" w:styleId="ListParagraph">
    <w:name w:val="List Paragraph"/>
    <w:basedOn w:val="Normal"/>
    <w:uiPriority w:val="34"/>
    <w:qFormat/>
    <w:rsid w:val="00F85A6F"/>
    <w:pPr>
      <w:ind w:left="720"/>
      <w:contextualSpacing/>
    </w:pPr>
  </w:style>
  <w:style w:type="paragraph" w:styleId="FootnoteText">
    <w:name w:val="footnote text"/>
    <w:basedOn w:val="Normal"/>
    <w:link w:val="FootnoteTextChar"/>
    <w:uiPriority w:val="99"/>
    <w:semiHidden/>
    <w:unhideWhenUsed/>
    <w:rsid w:val="002C4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F08"/>
    <w:rPr>
      <w:sz w:val="20"/>
      <w:szCs w:val="20"/>
    </w:rPr>
  </w:style>
  <w:style w:type="character" w:styleId="FootnoteReference">
    <w:name w:val="footnote reference"/>
    <w:basedOn w:val="DefaultParagraphFont"/>
    <w:uiPriority w:val="99"/>
    <w:semiHidden/>
    <w:unhideWhenUsed/>
    <w:rsid w:val="002C4F08"/>
    <w:rPr>
      <w:vertAlign w:val="superscript"/>
    </w:rPr>
  </w:style>
  <w:style w:type="paragraph" w:styleId="CommentSubject">
    <w:name w:val="annotation subject"/>
    <w:basedOn w:val="CommentText"/>
    <w:next w:val="CommentText"/>
    <w:link w:val="CommentSubjectChar"/>
    <w:uiPriority w:val="99"/>
    <w:semiHidden/>
    <w:unhideWhenUsed/>
    <w:rsid w:val="0006567D"/>
    <w:rPr>
      <w:b/>
      <w:bCs/>
    </w:rPr>
  </w:style>
  <w:style w:type="character" w:customStyle="1" w:styleId="CommentSubjectChar">
    <w:name w:val="Comment Subject Char"/>
    <w:basedOn w:val="CommentTextChar"/>
    <w:link w:val="CommentSubject"/>
    <w:uiPriority w:val="99"/>
    <w:semiHidden/>
    <w:rsid w:val="0006567D"/>
    <w:rPr>
      <w:b/>
      <w:bCs/>
      <w:sz w:val="20"/>
      <w:szCs w:val="20"/>
    </w:rPr>
  </w:style>
  <w:style w:type="character" w:customStyle="1" w:styleId="Heading1Char">
    <w:name w:val="Heading 1 Char"/>
    <w:basedOn w:val="DefaultParagraphFont"/>
    <w:link w:val="Heading1"/>
    <w:uiPriority w:val="9"/>
    <w:rsid w:val="00EA34F3"/>
    <w:rPr>
      <w:rFonts w:ascii="Papyrus" w:eastAsiaTheme="majorEastAsia" w:hAnsi="Papyrus" w:cstheme="majorBidi"/>
      <w:b/>
      <w:bCs/>
      <w:sz w:val="36"/>
      <w:szCs w:val="28"/>
    </w:rPr>
  </w:style>
  <w:style w:type="character" w:styleId="Hyperlink">
    <w:name w:val="Hyperlink"/>
    <w:basedOn w:val="DefaultParagraphFont"/>
    <w:uiPriority w:val="99"/>
    <w:unhideWhenUsed/>
    <w:rsid w:val="00CD7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news.com/opinion/knowledge-bank/articles/2018-01-19/in-this-digital-age-students-with-liberal-arts-training-stand-out" TargetMode="External"/><Relationship Id="rId2" Type="http://schemas.openxmlformats.org/officeDocument/2006/relationships/hyperlink" Target="http://www.ilga.gov/legislation/publicacts/fulltext.asp?Name=097-0610" TargetMode="External"/><Relationship Id="rId1" Type="http://schemas.openxmlformats.org/officeDocument/2006/relationships/hyperlink" Target="https://www.wbez.org/shows/wbez-news/city-colleges-of-chicago-are-being-reinvented-so-why-arent-students-going/0c0d2484-3459-42cf-a606-97a7c8719bb3" TargetMode="External"/><Relationship Id="rId4" Type="http://schemas.openxmlformats.org/officeDocument/2006/relationships/hyperlink" Target="https://www.aaup.org/report/regional-accreditation-standards-concerning-academic-freedom-and-faculty-role-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C61E-BA2E-4829-97D8-A3E5AC2D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Bathgate</dc:creator>
  <cp:lastModifiedBy>Annette E Hamm</cp:lastModifiedBy>
  <cp:revision>3</cp:revision>
  <cp:lastPrinted>2019-08-21T14:18:00Z</cp:lastPrinted>
  <dcterms:created xsi:type="dcterms:W3CDTF">2019-08-16T18:31:00Z</dcterms:created>
  <dcterms:modified xsi:type="dcterms:W3CDTF">2019-08-21T14:19:00Z</dcterms:modified>
</cp:coreProperties>
</file>